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EE" w:rsidRPr="00DE62AC" w:rsidRDefault="00084EEE" w:rsidP="00084EEE">
      <w:pPr>
        <w:jc w:val="center"/>
        <w:rPr>
          <w:rFonts w:ascii="Arial" w:hAnsi="Arial" w:cs="Arial"/>
          <w:b/>
          <w:sz w:val="24"/>
          <w:szCs w:val="24"/>
        </w:rPr>
      </w:pPr>
      <w:r w:rsidRPr="006145C7">
        <w:rPr>
          <w:rFonts w:ascii="Arial" w:hAnsi="Arial" w:cs="Arial"/>
          <w:b/>
          <w:sz w:val="24"/>
          <w:szCs w:val="24"/>
        </w:rPr>
        <w:t xml:space="preserve">Swallowable Gas-Filled Intragastric </w:t>
      </w:r>
      <w:r w:rsidR="003168ED">
        <w:rPr>
          <w:rFonts w:ascii="Arial" w:hAnsi="Arial" w:cs="Arial"/>
          <w:b/>
          <w:sz w:val="24"/>
          <w:szCs w:val="24"/>
        </w:rPr>
        <w:t xml:space="preserve">Balloon </w:t>
      </w:r>
      <w:r w:rsidRPr="006145C7">
        <w:rPr>
          <w:rFonts w:ascii="Arial" w:hAnsi="Arial" w:cs="Arial"/>
          <w:b/>
          <w:sz w:val="24"/>
          <w:szCs w:val="24"/>
        </w:rPr>
        <w:t>System Post Approval Study: Interim Analysis of the first 100 patients with one-year results</w:t>
      </w:r>
    </w:p>
    <w:p w:rsidR="00084EEE" w:rsidRPr="006145C7" w:rsidRDefault="00084EEE" w:rsidP="00084EEE">
      <w:pPr>
        <w:spacing w:line="480" w:lineRule="auto"/>
        <w:jc w:val="center"/>
        <w:rPr>
          <w:rFonts w:ascii="Arial" w:hAnsi="Arial" w:cs="Arial"/>
          <w:sz w:val="24"/>
          <w:szCs w:val="24"/>
        </w:rPr>
      </w:pPr>
      <w:r w:rsidRPr="006145C7">
        <w:rPr>
          <w:rFonts w:ascii="Arial" w:hAnsi="Arial" w:cs="Arial"/>
          <w:sz w:val="24"/>
          <w:szCs w:val="24"/>
        </w:rPr>
        <w:t>Shelby Sullivan</w:t>
      </w:r>
      <w:r>
        <w:rPr>
          <w:rFonts w:ascii="Arial" w:hAnsi="Arial" w:cs="Arial"/>
          <w:sz w:val="24"/>
          <w:szCs w:val="24"/>
        </w:rPr>
        <w:t xml:space="preserve"> MD</w:t>
      </w:r>
      <w:r w:rsidRPr="006145C7">
        <w:rPr>
          <w:rFonts w:ascii="Arial" w:hAnsi="Arial" w:cs="Arial"/>
          <w:sz w:val="24"/>
          <w:szCs w:val="24"/>
          <w:vertAlign w:val="superscript"/>
        </w:rPr>
        <w:t>1</w:t>
      </w:r>
      <w:r w:rsidRPr="006145C7">
        <w:rPr>
          <w:rFonts w:ascii="Arial" w:hAnsi="Arial" w:cs="Arial"/>
          <w:sz w:val="24"/>
          <w:szCs w:val="24"/>
        </w:rPr>
        <w:t>, Robert G. Snow</w:t>
      </w:r>
      <w:r>
        <w:rPr>
          <w:rFonts w:ascii="Arial" w:hAnsi="Arial" w:cs="Arial"/>
          <w:sz w:val="24"/>
          <w:szCs w:val="24"/>
        </w:rPr>
        <w:t xml:space="preserve"> DO</w:t>
      </w:r>
      <w:r w:rsidRPr="006145C7">
        <w:rPr>
          <w:rFonts w:ascii="Arial" w:hAnsi="Arial" w:cs="Arial"/>
          <w:sz w:val="24"/>
          <w:szCs w:val="24"/>
          <w:vertAlign w:val="superscript"/>
        </w:rPr>
        <w:t>2</w:t>
      </w:r>
      <w:r w:rsidRPr="006145C7">
        <w:rPr>
          <w:rFonts w:ascii="Arial" w:hAnsi="Arial" w:cs="Arial"/>
          <w:sz w:val="24"/>
          <w:szCs w:val="24"/>
        </w:rPr>
        <w:t>, Shawn M. Garber</w:t>
      </w:r>
      <w:r>
        <w:rPr>
          <w:rFonts w:ascii="Arial" w:hAnsi="Arial" w:cs="Arial"/>
          <w:sz w:val="24"/>
          <w:szCs w:val="24"/>
        </w:rPr>
        <w:t xml:space="preserve"> MD</w:t>
      </w:r>
      <w:r w:rsidRPr="006145C7">
        <w:rPr>
          <w:rFonts w:ascii="Arial" w:hAnsi="Arial" w:cs="Arial"/>
          <w:sz w:val="24"/>
          <w:szCs w:val="24"/>
          <w:vertAlign w:val="superscript"/>
        </w:rPr>
        <w:t>3</w:t>
      </w:r>
      <w:r w:rsidRPr="006145C7">
        <w:rPr>
          <w:rFonts w:ascii="Arial" w:hAnsi="Arial" w:cs="Arial"/>
          <w:sz w:val="24"/>
          <w:szCs w:val="24"/>
        </w:rPr>
        <w:t>, Michael Seger</w:t>
      </w:r>
      <w:r>
        <w:rPr>
          <w:rFonts w:ascii="Arial" w:hAnsi="Arial" w:cs="Arial"/>
          <w:sz w:val="24"/>
          <w:szCs w:val="24"/>
        </w:rPr>
        <w:t xml:space="preserve"> MD</w:t>
      </w:r>
      <w:r w:rsidRPr="006145C7">
        <w:rPr>
          <w:rFonts w:ascii="Arial" w:hAnsi="Arial" w:cs="Arial"/>
          <w:sz w:val="24"/>
          <w:szCs w:val="24"/>
          <w:vertAlign w:val="superscript"/>
        </w:rPr>
        <w:t>4</w:t>
      </w:r>
      <w:r w:rsidRPr="006145C7">
        <w:rPr>
          <w:rFonts w:ascii="Arial" w:hAnsi="Arial" w:cs="Arial"/>
          <w:sz w:val="24"/>
          <w:szCs w:val="24"/>
        </w:rPr>
        <w:t>, Michael Russo</w:t>
      </w:r>
      <w:r>
        <w:rPr>
          <w:rFonts w:ascii="Arial" w:hAnsi="Arial" w:cs="Arial"/>
          <w:sz w:val="24"/>
          <w:szCs w:val="24"/>
        </w:rPr>
        <w:t xml:space="preserve"> MD</w:t>
      </w:r>
      <w:r w:rsidRPr="006145C7">
        <w:rPr>
          <w:rFonts w:ascii="Arial" w:hAnsi="Arial" w:cs="Arial"/>
          <w:sz w:val="24"/>
          <w:szCs w:val="24"/>
          <w:vertAlign w:val="superscript"/>
        </w:rPr>
        <w:t>5</w:t>
      </w:r>
      <w:r w:rsidRPr="006145C7">
        <w:rPr>
          <w:rFonts w:ascii="Arial" w:hAnsi="Arial" w:cs="Arial"/>
          <w:sz w:val="24"/>
          <w:szCs w:val="24"/>
        </w:rPr>
        <w:t>, Trace W. Curry</w:t>
      </w:r>
      <w:r>
        <w:rPr>
          <w:rFonts w:ascii="Arial" w:hAnsi="Arial" w:cs="Arial"/>
          <w:sz w:val="24"/>
          <w:szCs w:val="24"/>
        </w:rPr>
        <w:t xml:space="preserve"> MD</w:t>
      </w:r>
      <w:r w:rsidRPr="006145C7">
        <w:rPr>
          <w:rFonts w:ascii="Arial" w:hAnsi="Arial" w:cs="Arial"/>
          <w:sz w:val="24"/>
          <w:szCs w:val="24"/>
          <w:vertAlign w:val="superscript"/>
        </w:rPr>
        <w:t>6</w:t>
      </w:r>
      <w:r w:rsidRPr="006145C7">
        <w:rPr>
          <w:rFonts w:ascii="Arial" w:hAnsi="Arial" w:cs="Arial"/>
          <w:sz w:val="24"/>
          <w:szCs w:val="24"/>
        </w:rPr>
        <w:t>, Adam B. Smith</w:t>
      </w:r>
      <w:r>
        <w:rPr>
          <w:rFonts w:ascii="Arial" w:hAnsi="Arial" w:cs="Arial"/>
          <w:sz w:val="24"/>
          <w:szCs w:val="24"/>
        </w:rPr>
        <w:t xml:space="preserve"> DO</w:t>
      </w:r>
      <w:r w:rsidRPr="006145C7">
        <w:rPr>
          <w:rFonts w:ascii="Arial" w:hAnsi="Arial" w:cs="Arial"/>
          <w:sz w:val="24"/>
          <w:szCs w:val="24"/>
          <w:vertAlign w:val="superscript"/>
        </w:rPr>
        <w:t>7</w:t>
      </w:r>
      <w:r w:rsidRPr="006145C7">
        <w:rPr>
          <w:rFonts w:ascii="Arial" w:hAnsi="Arial" w:cs="Arial"/>
          <w:sz w:val="24"/>
          <w:szCs w:val="24"/>
        </w:rPr>
        <w:t>, Carson D. Liu</w:t>
      </w:r>
      <w:r>
        <w:rPr>
          <w:rFonts w:ascii="Arial" w:hAnsi="Arial" w:cs="Arial"/>
          <w:sz w:val="24"/>
          <w:szCs w:val="24"/>
        </w:rPr>
        <w:t xml:space="preserve"> MD</w:t>
      </w:r>
      <w:r w:rsidRPr="006145C7">
        <w:rPr>
          <w:rFonts w:ascii="Arial" w:hAnsi="Arial" w:cs="Arial"/>
          <w:sz w:val="24"/>
          <w:szCs w:val="24"/>
          <w:vertAlign w:val="superscript"/>
        </w:rPr>
        <w:t>8</w:t>
      </w:r>
      <w:r w:rsidRPr="006145C7">
        <w:rPr>
          <w:rFonts w:ascii="Arial" w:hAnsi="Arial" w:cs="Arial"/>
          <w:sz w:val="24"/>
          <w:szCs w:val="24"/>
        </w:rPr>
        <w:t>, David G. Davtyan</w:t>
      </w:r>
      <w:r>
        <w:rPr>
          <w:rFonts w:ascii="Arial" w:hAnsi="Arial" w:cs="Arial"/>
          <w:sz w:val="24"/>
          <w:szCs w:val="24"/>
        </w:rPr>
        <w:t xml:space="preserve"> MD</w:t>
      </w:r>
      <w:r w:rsidRPr="006145C7">
        <w:rPr>
          <w:rFonts w:ascii="Arial" w:hAnsi="Arial" w:cs="Arial"/>
          <w:sz w:val="24"/>
          <w:szCs w:val="24"/>
          <w:vertAlign w:val="superscript"/>
        </w:rPr>
        <w:t>9</w:t>
      </w:r>
      <w:r w:rsidRPr="006145C7">
        <w:rPr>
          <w:rFonts w:ascii="Arial" w:hAnsi="Arial" w:cs="Arial"/>
          <w:sz w:val="24"/>
          <w:szCs w:val="24"/>
        </w:rPr>
        <w:t>, Richard T. Nguyen</w:t>
      </w:r>
      <w:r>
        <w:rPr>
          <w:rFonts w:ascii="Arial" w:hAnsi="Arial" w:cs="Arial"/>
          <w:sz w:val="24"/>
          <w:szCs w:val="24"/>
        </w:rPr>
        <w:t xml:space="preserve"> DO</w:t>
      </w:r>
      <w:r w:rsidRPr="006145C7">
        <w:rPr>
          <w:rFonts w:ascii="Arial" w:hAnsi="Arial" w:cs="Arial"/>
          <w:sz w:val="24"/>
          <w:szCs w:val="24"/>
          <w:vertAlign w:val="superscript"/>
        </w:rPr>
        <w:t>10</w:t>
      </w:r>
      <w:r w:rsidRPr="006145C7">
        <w:rPr>
          <w:rFonts w:ascii="Arial" w:hAnsi="Arial" w:cs="Arial"/>
          <w:sz w:val="24"/>
          <w:szCs w:val="24"/>
        </w:rPr>
        <w:t>, Sachin S. Kukreja</w:t>
      </w:r>
      <w:r>
        <w:rPr>
          <w:rFonts w:ascii="Arial" w:hAnsi="Arial" w:cs="Arial"/>
          <w:sz w:val="24"/>
          <w:szCs w:val="24"/>
        </w:rPr>
        <w:t xml:space="preserve"> MD</w:t>
      </w:r>
      <w:r w:rsidRPr="006145C7">
        <w:rPr>
          <w:rFonts w:ascii="Arial" w:hAnsi="Arial" w:cs="Arial"/>
          <w:sz w:val="24"/>
          <w:szCs w:val="24"/>
          <w:vertAlign w:val="superscript"/>
        </w:rPr>
        <w:t>11</w:t>
      </w:r>
      <w:r w:rsidRPr="006145C7">
        <w:rPr>
          <w:rFonts w:ascii="Arial" w:hAnsi="Arial" w:cs="Arial"/>
          <w:sz w:val="24"/>
          <w:szCs w:val="24"/>
        </w:rPr>
        <w:t>, Anthony A. Starpoli</w:t>
      </w:r>
      <w:r>
        <w:rPr>
          <w:rFonts w:ascii="Arial" w:hAnsi="Arial" w:cs="Arial"/>
          <w:sz w:val="24"/>
          <w:szCs w:val="24"/>
        </w:rPr>
        <w:t xml:space="preserve"> MD</w:t>
      </w:r>
      <w:r w:rsidRPr="006145C7">
        <w:rPr>
          <w:rFonts w:ascii="Arial" w:hAnsi="Arial" w:cs="Arial"/>
          <w:sz w:val="24"/>
          <w:szCs w:val="24"/>
          <w:vertAlign w:val="superscript"/>
        </w:rPr>
        <w:t>12</w:t>
      </w:r>
      <w:r w:rsidRPr="006145C7">
        <w:rPr>
          <w:rFonts w:ascii="Arial" w:hAnsi="Arial" w:cs="Arial"/>
          <w:sz w:val="24"/>
          <w:szCs w:val="24"/>
        </w:rPr>
        <w:t>, and Rachel L. Moore</w:t>
      </w:r>
      <w:r>
        <w:rPr>
          <w:rFonts w:ascii="Arial" w:hAnsi="Arial" w:cs="Arial"/>
          <w:sz w:val="24"/>
          <w:szCs w:val="24"/>
        </w:rPr>
        <w:t xml:space="preserve"> MD</w:t>
      </w:r>
      <w:r w:rsidRPr="006145C7">
        <w:rPr>
          <w:rFonts w:ascii="Arial" w:hAnsi="Arial" w:cs="Arial"/>
          <w:sz w:val="24"/>
          <w:szCs w:val="24"/>
          <w:vertAlign w:val="superscript"/>
        </w:rPr>
        <w:t>13</w:t>
      </w:r>
    </w:p>
    <w:p w:rsidR="00084EEE" w:rsidRDefault="00084EEE" w:rsidP="00084EEE">
      <w:pPr>
        <w:spacing w:line="480" w:lineRule="auto"/>
        <w:contextualSpacing/>
        <w:rPr>
          <w:rFonts w:ascii="Arial" w:hAnsi="Arial" w:cs="Arial"/>
          <w:sz w:val="24"/>
          <w:szCs w:val="24"/>
        </w:rPr>
      </w:pPr>
      <w:r w:rsidRPr="006145C7">
        <w:rPr>
          <w:rFonts w:ascii="Arial" w:hAnsi="Arial" w:cs="Arial"/>
          <w:sz w:val="24"/>
          <w:szCs w:val="24"/>
          <w:vertAlign w:val="superscript"/>
        </w:rPr>
        <w:t>1</w:t>
      </w:r>
      <w:r w:rsidRPr="006145C7">
        <w:rPr>
          <w:rFonts w:ascii="Arial" w:hAnsi="Arial" w:cs="Arial"/>
          <w:sz w:val="24"/>
          <w:szCs w:val="24"/>
        </w:rPr>
        <w:t xml:space="preserve">University of Colorado School of Medicine, Aurora, CO; </w:t>
      </w:r>
      <w:r w:rsidRPr="006145C7">
        <w:rPr>
          <w:rFonts w:ascii="Arial" w:hAnsi="Arial" w:cs="Arial"/>
          <w:sz w:val="24"/>
          <w:szCs w:val="24"/>
          <w:vertAlign w:val="superscript"/>
        </w:rPr>
        <w:t>2</w:t>
      </w:r>
      <w:r w:rsidRPr="006145C7">
        <w:rPr>
          <w:rFonts w:ascii="Arial" w:hAnsi="Arial" w:cs="Arial"/>
          <w:sz w:val="24"/>
          <w:szCs w:val="24"/>
        </w:rPr>
        <w:t xml:space="preserve">Snow Bariatric Center, Trophy Club, TX; </w:t>
      </w:r>
      <w:r w:rsidRPr="006145C7">
        <w:rPr>
          <w:rFonts w:ascii="Arial" w:hAnsi="Arial" w:cs="Arial"/>
          <w:sz w:val="24"/>
          <w:szCs w:val="24"/>
          <w:vertAlign w:val="superscript"/>
        </w:rPr>
        <w:t>3</w:t>
      </w:r>
      <w:r w:rsidRPr="006145C7">
        <w:rPr>
          <w:rFonts w:ascii="Arial" w:hAnsi="Arial" w:cs="Arial"/>
          <w:sz w:val="24"/>
          <w:szCs w:val="24"/>
        </w:rPr>
        <w:t xml:space="preserve">New York Bariatric Group – Roslyn Heights, NY; </w:t>
      </w:r>
      <w:r w:rsidRPr="006145C7">
        <w:rPr>
          <w:rFonts w:ascii="Arial" w:hAnsi="Arial" w:cs="Arial"/>
          <w:sz w:val="24"/>
          <w:szCs w:val="24"/>
          <w:vertAlign w:val="superscript"/>
        </w:rPr>
        <w:t>4</w:t>
      </w:r>
      <w:r w:rsidRPr="006145C7">
        <w:rPr>
          <w:rFonts w:ascii="Arial" w:hAnsi="Arial" w:cs="Arial"/>
          <w:sz w:val="24"/>
          <w:szCs w:val="24"/>
        </w:rPr>
        <w:t xml:space="preserve">Bariatric </w:t>
      </w:r>
      <w:r w:rsidR="00BA4991">
        <w:rPr>
          <w:rFonts w:ascii="Arial" w:hAnsi="Arial" w:cs="Arial"/>
          <w:sz w:val="24"/>
          <w:szCs w:val="24"/>
        </w:rPr>
        <w:t xml:space="preserve">Medical </w:t>
      </w:r>
      <w:r w:rsidRPr="006145C7">
        <w:rPr>
          <w:rFonts w:ascii="Arial" w:hAnsi="Arial" w:cs="Arial"/>
          <w:sz w:val="24"/>
          <w:szCs w:val="24"/>
        </w:rPr>
        <w:t xml:space="preserve">Institute of Texas, San Antonio, TX; </w:t>
      </w:r>
      <w:r w:rsidRPr="006145C7">
        <w:rPr>
          <w:rFonts w:ascii="Arial" w:hAnsi="Arial" w:cs="Arial"/>
          <w:sz w:val="24"/>
          <w:szCs w:val="24"/>
          <w:vertAlign w:val="superscript"/>
        </w:rPr>
        <w:t>5</w:t>
      </w:r>
      <w:r w:rsidRPr="006145C7">
        <w:rPr>
          <w:rFonts w:ascii="Arial" w:hAnsi="Arial" w:cs="Arial"/>
          <w:sz w:val="24"/>
          <w:szCs w:val="24"/>
        </w:rPr>
        <w:t xml:space="preserve">Smart Dimension Weight </w:t>
      </w:r>
      <w:r w:rsidR="00BA4991">
        <w:rPr>
          <w:rFonts w:ascii="Arial" w:hAnsi="Arial" w:cs="Arial"/>
          <w:sz w:val="24"/>
          <w:szCs w:val="24"/>
        </w:rPr>
        <w:t>L</w:t>
      </w:r>
      <w:r w:rsidR="00BA4991" w:rsidRPr="006145C7">
        <w:rPr>
          <w:rFonts w:ascii="Arial" w:hAnsi="Arial" w:cs="Arial"/>
          <w:sz w:val="24"/>
          <w:szCs w:val="24"/>
        </w:rPr>
        <w:t>oss</w:t>
      </w:r>
      <w:r w:rsidRPr="006145C7">
        <w:rPr>
          <w:rFonts w:ascii="Arial" w:hAnsi="Arial" w:cs="Arial"/>
          <w:sz w:val="24"/>
          <w:szCs w:val="24"/>
        </w:rPr>
        <w:t xml:space="preserve">, Fountain Valley, CA; </w:t>
      </w:r>
      <w:r w:rsidRPr="006145C7">
        <w:rPr>
          <w:rFonts w:ascii="Arial" w:hAnsi="Arial" w:cs="Arial"/>
          <w:sz w:val="24"/>
          <w:szCs w:val="24"/>
          <w:vertAlign w:val="superscript"/>
        </w:rPr>
        <w:t>6</w:t>
      </w:r>
      <w:r w:rsidRPr="006145C7">
        <w:rPr>
          <w:rFonts w:ascii="Arial" w:hAnsi="Arial" w:cs="Arial"/>
          <w:sz w:val="24"/>
          <w:szCs w:val="24"/>
        </w:rPr>
        <w:t xml:space="preserve">JourneyLite Physicians, Cincinnati, OH; </w:t>
      </w:r>
      <w:r w:rsidRPr="006145C7">
        <w:rPr>
          <w:rFonts w:ascii="Arial" w:hAnsi="Arial" w:cs="Arial"/>
          <w:sz w:val="24"/>
          <w:szCs w:val="24"/>
          <w:vertAlign w:val="superscript"/>
        </w:rPr>
        <w:t>7</w:t>
      </w:r>
      <w:r w:rsidRPr="006145C7">
        <w:rPr>
          <w:rFonts w:ascii="Arial" w:hAnsi="Arial" w:cs="Arial"/>
          <w:sz w:val="24"/>
          <w:szCs w:val="24"/>
        </w:rPr>
        <w:t xml:space="preserve">Ultimate Bariatrics – Fort Worth, TX; </w:t>
      </w:r>
      <w:r w:rsidRPr="006145C7">
        <w:rPr>
          <w:rFonts w:ascii="Arial" w:hAnsi="Arial" w:cs="Arial"/>
          <w:sz w:val="24"/>
          <w:szCs w:val="24"/>
          <w:vertAlign w:val="superscript"/>
        </w:rPr>
        <w:t>8</w:t>
      </w:r>
      <w:r w:rsidRPr="006145C7">
        <w:rPr>
          <w:rFonts w:ascii="Arial" w:hAnsi="Arial" w:cs="Arial"/>
          <w:sz w:val="24"/>
          <w:szCs w:val="24"/>
        </w:rPr>
        <w:t xml:space="preserve">SkyLex Health, Santa Monica, CA; </w:t>
      </w:r>
      <w:r w:rsidRPr="006145C7">
        <w:rPr>
          <w:rFonts w:ascii="Arial" w:hAnsi="Arial" w:cs="Arial"/>
          <w:sz w:val="24"/>
          <w:szCs w:val="24"/>
          <w:vertAlign w:val="superscript"/>
        </w:rPr>
        <w:t>9</w:t>
      </w:r>
      <w:r w:rsidRPr="006145C7">
        <w:rPr>
          <w:rFonts w:ascii="Arial" w:hAnsi="Arial" w:cs="Arial"/>
          <w:sz w:val="24"/>
          <w:szCs w:val="24"/>
        </w:rPr>
        <w:t xml:space="preserve">Davtyan Medical Weight Loss and Wellness, Glendale, CA; </w:t>
      </w:r>
      <w:r w:rsidRPr="006145C7">
        <w:rPr>
          <w:rFonts w:ascii="Arial" w:hAnsi="Arial" w:cs="Arial"/>
          <w:sz w:val="24"/>
          <w:szCs w:val="24"/>
          <w:vertAlign w:val="superscript"/>
        </w:rPr>
        <w:t>10</w:t>
      </w:r>
      <w:r w:rsidRPr="006145C7">
        <w:rPr>
          <w:rFonts w:ascii="Arial" w:hAnsi="Arial" w:cs="Arial"/>
          <w:sz w:val="24"/>
          <w:szCs w:val="24"/>
        </w:rPr>
        <w:t xml:space="preserve">Lifestime Surgical Weight </w:t>
      </w:r>
      <w:r w:rsidR="00BA4991">
        <w:rPr>
          <w:rFonts w:ascii="Arial" w:hAnsi="Arial" w:cs="Arial"/>
          <w:sz w:val="24"/>
          <w:szCs w:val="24"/>
        </w:rPr>
        <w:t>L</w:t>
      </w:r>
      <w:r w:rsidR="00BA4991" w:rsidRPr="006145C7">
        <w:rPr>
          <w:rFonts w:ascii="Arial" w:hAnsi="Arial" w:cs="Arial"/>
          <w:sz w:val="24"/>
          <w:szCs w:val="24"/>
        </w:rPr>
        <w:t>oss</w:t>
      </w:r>
      <w:r w:rsidRPr="006145C7">
        <w:rPr>
          <w:rFonts w:ascii="Arial" w:hAnsi="Arial" w:cs="Arial"/>
          <w:sz w:val="24"/>
          <w:szCs w:val="24"/>
        </w:rPr>
        <w:t xml:space="preserve">, Los Gatos, CA; </w:t>
      </w:r>
      <w:r w:rsidRPr="006145C7">
        <w:rPr>
          <w:rFonts w:ascii="Arial" w:hAnsi="Arial" w:cs="Arial"/>
          <w:sz w:val="24"/>
          <w:szCs w:val="24"/>
          <w:vertAlign w:val="superscript"/>
        </w:rPr>
        <w:t>11</w:t>
      </w:r>
      <w:r w:rsidRPr="006145C7">
        <w:rPr>
          <w:rFonts w:ascii="Arial" w:hAnsi="Arial" w:cs="Arial"/>
          <w:sz w:val="24"/>
          <w:szCs w:val="24"/>
        </w:rPr>
        <w:t xml:space="preserve">Minimally Invasive Surgical Associates, Dallas, TX; </w:t>
      </w:r>
      <w:r w:rsidRPr="006145C7">
        <w:rPr>
          <w:rFonts w:ascii="Arial" w:hAnsi="Arial" w:cs="Arial"/>
          <w:sz w:val="24"/>
          <w:szCs w:val="24"/>
          <w:vertAlign w:val="superscript"/>
        </w:rPr>
        <w:t>12</w:t>
      </w:r>
      <w:r w:rsidRPr="006145C7">
        <w:rPr>
          <w:rFonts w:ascii="Arial" w:hAnsi="Arial" w:cs="Arial"/>
          <w:sz w:val="24"/>
          <w:szCs w:val="24"/>
        </w:rPr>
        <w:t xml:space="preserve">Greenwhich Village Gastroenterology, Poughkeepsie, NY; </w:t>
      </w:r>
      <w:r w:rsidRPr="006145C7">
        <w:rPr>
          <w:rFonts w:ascii="Arial" w:hAnsi="Arial" w:cs="Arial"/>
          <w:sz w:val="24"/>
          <w:szCs w:val="24"/>
          <w:vertAlign w:val="superscript"/>
        </w:rPr>
        <w:t>13</w:t>
      </w:r>
      <w:r w:rsidRPr="006145C7">
        <w:rPr>
          <w:rFonts w:ascii="Arial" w:hAnsi="Arial" w:cs="Arial"/>
          <w:sz w:val="24"/>
          <w:szCs w:val="24"/>
        </w:rPr>
        <w:t>Surgical Specialists of Louisiana,, New Orleans, LA</w:t>
      </w:r>
    </w:p>
    <w:p w:rsidR="009F0B92" w:rsidRPr="006145C7" w:rsidRDefault="009F0B92" w:rsidP="009F0B92">
      <w:pPr>
        <w:spacing w:line="480" w:lineRule="auto"/>
        <w:rPr>
          <w:rFonts w:ascii="Arial" w:hAnsi="Arial" w:cs="Arial"/>
          <w:sz w:val="24"/>
          <w:szCs w:val="24"/>
        </w:rPr>
      </w:pPr>
      <w:r w:rsidRPr="006145C7">
        <w:rPr>
          <w:rFonts w:ascii="Arial" w:hAnsi="Arial" w:cs="Arial"/>
          <w:b/>
          <w:sz w:val="24"/>
          <w:szCs w:val="24"/>
        </w:rPr>
        <w:t>Key Words</w:t>
      </w:r>
      <w:r w:rsidRPr="006145C7">
        <w:rPr>
          <w:rFonts w:ascii="Arial" w:hAnsi="Arial" w:cs="Arial"/>
          <w:sz w:val="24"/>
          <w:szCs w:val="24"/>
        </w:rPr>
        <w:t>: Intragastric Balloon, Endoscopic Bariatric Therapy, Swallowable Balloon, Post Market Approval Study</w:t>
      </w:r>
    </w:p>
    <w:p w:rsidR="009F0B92" w:rsidRPr="006145C7" w:rsidRDefault="009F0B92" w:rsidP="00084EEE">
      <w:pPr>
        <w:spacing w:line="480" w:lineRule="auto"/>
        <w:contextualSpacing/>
        <w:rPr>
          <w:rFonts w:ascii="Arial" w:hAnsi="Arial" w:cs="Arial"/>
          <w:sz w:val="24"/>
          <w:szCs w:val="24"/>
        </w:rPr>
      </w:pPr>
      <w:r w:rsidRPr="009F0B92">
        <w:rPr>
          <w:rFonts w:ascii="Arial" w:hAnsi="Arial" w:cs="Arial"/>
          <w:b/>
          <w:sz w:val="24"/>
          <w:szCs w:val="24"/>
        </w:rPr>
        <w:t>Running Title:</w:t>
      </w:r>
      <w:r>
        <w:rPr>
          <w:rFonts w:ascii="Arial" w:hAnsi="Arial" w:cs="Arial"/>
          <w:sz w:val="24"/>
          <w:szCs w:val="24"/>
        </w:rPr>
        <w:t xml:space="preserve"> Swallowable Gas-Filled Intragastric Balloon Post-Market Approval: 100 Patients</w:t>
      </w:r>
    </w:p>
    <w:p w:rsidR="009F0B92" w:rsidRDefault="009F0B92" w:rsidP="00084EEE">
      <w:pPr>
        <w:spacing w:line="480" w:lineRule="auto"/>
        <w:contextualSpacing/>
        <w:rPr>
          <w:rFonts w:ascii="Arial" w:eastAsia="Calibri" w:hAnsi="Arial" w:cs="Arial"/>
          <w:sz w:val="24"/>
          <w:szCs w:val="24"/>
        </w:rPr>
      </w:pPr>
      <w:r w:rsidRPr="00CE04BC">
        <w:rPr>
          <w:rFonts w:ascii="Arial" w:eastAsia="Calibri" w:hAnsi="Arial" w:cs="Arial"/>
          <w:b/>
          <w:sz w:val="24"/>
          <w:szCs w:val="24"/>
        </w:rPr>
        <w:t>Clinical Trial Registration</w:t>
      </w:r>
      <w:r>
        <w:rPr>
          <w:rFonts w:ascii="Arial" w:eastAsia="Calibri" w:hAnsi="Arial" w:cs="Arial"/>
          <w:sz w:val="24"/>
          <w:szCs w:val="24"/>
        </w:rPr>
        <w:t xml:space="preserve">: clinicaltrials.gov </w:t>
      </w:r>
      <w:r w:rsidRPr="009F0B92">
        <w:rPr>
          <w:rFonts w:ascii="Arial" w:eastAsia="Calibri" w:hAnsi="Arial" w:cs="Arial"/>
          <w:sz w:val="24"/>
          <w:szCs w:val="24"/>
        </w:rPr>
        <w:t>NCT03570034</w:t>
      </w:r>
    </w:p>
    <w:p w:rsidR="00084EEE" w:rsidRPr="006145C7" w:rsidRDefault="00084EEE" w:rsidP="00084EEE">
      <w:pPr>
        <w:spacing w:line="480" w:lineRule="auto"/>
        <w:contextualSpacing/>
        <w:rPr>
          <w:rFonts w:ascii="Arial" w:eastAsia="Calibri" w:hAnsi="Arial" w:cs="Arial"/>
          <w:sz w:val="24"/>
          <w:szCs w:val="24"/>
        </w:rPr>
      </w:pPr>
      <w:r w:rsidRPr="00DE62AC">
        <w:rPr>
          <w:rFonts w:ascii="Arial" w:eastAsia="Calibri" w:hAnsi="Arial" w:cs="Arial"/>
          <w:b/>
          <w:sz w:val="24"/>
          <w:szCs w:val="24"/>
        </w:rPr>
        <w:t>Funding:</w:t>
      </w:r>
      <w:r>
        <w:rPr>
          <w:rFonts w:ascii="Arial" w:eastAsia="Calibri" w:hAnsi="Arial" w:cs="Arial"/>
          <w:sz w:val="24"/>
          <w:szCs w:val="24"/>
        </w:rPr>
        <w:t xml:space="preserve"> Obalon Therapeutics</w:t>
      </w:r>
    </w:p>
    <w:p w:rsidR="00CE04BC" w:rsidRDefault="0062771D" w:rsidP="0010636A">
      <w:pPr>
        <w:spacing w:line="480" w:lineRule="auto"/>
        <w:rPr>
          <w:rFonts w:ascii="Arial" w:hAnsi="Arial" w:cs="Arial"/>
          <w:sz w:val="24"/>
          <w:szCs w:val="24"/>
        </w:rPr>
      </w:pPr>
      <w:r w:rsidRPr="00967F7E">
        <w:rPr>
          <w:rFonts w:ascii="Arial" w:hAnsi="Arial" w:cs="Arial"/>
          <w:b/>
          <w:sz w:val="24"/>
          <w:szCs w:val="24"/>
        </w:rPr>
        <w:t>Disclosures:</w:t>
      </w:r>
      <w:r w:rsidRPr="0070513C">
        <w:rPr>
          <w:rFonts w:ascii="Arial" w:hAnsi="Arial" w:cs="Arial"/>
          <w:sz w:val="24"/>
          <w:szCs w:val="24"/>
        </w:rPr>
        <w:t xml:space="preserve">Dr. Sullivan was a consultant to Aspire Bariatrics (ended 11/2018), USGI Medical (ended 12/2018), GI Dynamics (ended 7/2019), Spatz FGIA (ended 9/2018) and is currently a consultant to Allurion Technologies, Elira Therapeutics, Endo Tools Therapeutics, Nitinotes Surgical, Obalon Therapeutics, and Phenomix Sciences. Dr. </w:t>
      </w:r>
      <w:r w:rsidRPr="0070513C">
        <w:rPr>
          <w:rFonts w:ascii="Arial" w:hAnsi="Arial" w:cs="Arial"/>
          <w:sz w:val="24"/>
          <w:szCs w:val="24"/>
        </w:rPr>
        <w:lastRenderedPageBreak/>
        <w:t>Sullivan has performed contracted research for Aspire Bariatrics (ongoing), Obalon Therapeutics (ongoing), Allurion Technologies (ended 12/2019), Elira Therapeutics (ended 5/2019) Finch Therapeutics (ongoing) and ReBiotix (ongoing). Dr. Sullivan has received stock warra</w:t>
      </w:r>
      <w:r>
        <w:rPr>
          <w:rFonts w:ascii="Arial" w:hAnsi="Arial" w:cs="Arial"/>
          <w:sz w:val="24"/>
          <w:szCs w:val="24"/>
        </w:rPr>
        <w:t>nts from Elira Therapeutics; Dr. Snow peformed contracted research for Obalon Therapeutics and is a consultant for Apollo Endosurgery and Obalon Therapeurics;  Dr. Garber performed contracted research for Obalon Therapeutics and was a consultant for Obalon Theraputics and Medtronic and a speaker for Medtronic, Dr. Seger performed contracted research for Obalon Therapeutics, Dr. Russo performed contracted research for Obalon Therapeutics and is a consultant to Obalon Therapeutics and Medtronic, Dr.Curry performed contracted research for Oblaon Therapeutics, Apollo Endosurgery and ReShape Lifesciences, Dr. Smith performed contracted research for Obalon Therapeutics and owns stock in Obalon Therapeutics, Dr. Liu performed contracted research for Obalon Theraputics, Dr. Davtyan performed contracted research for Obalon Therapeutics, Dr. Nguyen performed contracted research for Obalon Therapeutics, Dr. Kukreja performed contracted research for Obalon Therapeutics and is a speaker for Intuitive Surgical and Aesculap, Dr. Starpoli performed contracted research for Obalon Therapeutics and is a consultant to Obalon Therapeutics and EndoGastric Solutions, and Dr. Moore performed contracted research for Apollo Endosurgery, Obalon Therapeutics, Allurion Technologies, and Elira Therapeutics and is a consultant to Allurion Technologies and Medtronic.</w:t>
      </w:r>
    </w:p>
    <w:p w:rsidR="009F0B92" w:rsidRPr="007B1151" w:rsidRDefault="00CE04BC" w:rsidP="0047708B">
      <w:pPr>
        <w:spacing w:line="480" w:lineRule="auto"/>
        <w:rPr>
          <w:rFonts w:ascii="Arial" w:hAnsi="Arial" w:cs="Arial"/>
          <w:b/>
          <w:sz w:val="24"/>
          <w:szCs w:val="24"/>
        </w:rPr>
      </w:pPr>
      <w:r w:rsidRPr="007B1151">
        <w:rPr>
          <w:rFonts w:ascii="Arial" w:hAnsi="Arial" w:cs="Arial"/>
          <w:b/>
          <w:sz w:val="24"/>
          <w:szCs w:val="24"/>
        </w:rPr>
        <w:t xml:space="preserve">What is already known about this subject? </w:t>
      </w:r>
    </w:p>
    <w:p w:rsidR="00CE04BC" w:rsidRDefault="00CE04BC" w:rsidP="0047708B">
      <w:pPr>
        <w:spacing w:line="480" w:lineRule="auto"/>
        <w:rPr>
          <w:rFonts w:ascii="Arial" w:hAnsi="Arial" w:cs="Arial"/>
          <w:sz w:val="24"/>
          <w:szCs w:val="24"/>
        </w:rPr>
      </w:pPr>
      <w:r>
        <w:rPr>
          <w:rFonts w:ascii="Arial" w:hAnsi="Arial" w:cs="Arial"/>
          <w:sz w:val="24"/>
          <w:szCs w:val="24"/>
        </w:rPr>
        <w:lastRenderedPageBreak/>
        <w:t>The Swallowable Gas-Filled Intragastric Balloon system (SGIBS) with lifestyle therapy has demonstrated twice as much weight loss compared with lifestyle therapy alone and a low rate of serious adverse events in a randomized sham controlled study</w:t>
      </w:r>
      <w:r w:rsidR="007B1151">
        <w:rPr>
          <w:rFonts w:ascii="Arial" w:hAnsi="Arial" w:cs="Arial"/>
          <w:sz w:val="24"/>
          <w:szCs w:val="24"/>
        </w:rPr>
        <w:t xml:space="preserve"> of patients who previously failed lifestyle therapy alone</w:t>
      </w:r>
      <w:r>
        <w:rPr>
          <w:rFonts w:ascii="Arial" w:hAnsi="Arial" w:cs="Arial"/>
          <w:sz w:val="24"/>
          <w:szCs w:val="24"/>
        </w:rPr>
        <w:t xml:space="preserve"> and more weight loss with similar low rate of serious adverse events in a prospectively collected </w:t>
      </w:r>
      <w:r w:rsidR="007B1151">
        <w:rPr>
          <w:rFonts w:ascii="Arial" w:hAnsi="Arial" w:cs="Arial"/>
          <w:sz w:val="24"/>
          <w:szCs w:val="24"/>
        </w:rPr>
        <w:t xml:space="preserve">clinical </w:t>
      </w:r>
      <w:r>
        <w:rPr>
          <w:rFonts w:ascii="Arial" w:hAnsi="Arial" w:cs="Arial"/>
          <w:sz w:val="24"/>
          <w:szCs w:val="24"/>
        </w:rPr>
        <w:t>registry series</w:t>
      </w:r>
      <w:r w:rsidR="007B1151">
        <w:rPr>
          <w:rFonts w:ascii="Arial" w:hAnsi="Arial" w:cs="Arial"/>
          <w:sz w:val="24"/>
          <w:szCs w:val="24"/>
        </w:rPr>
        <w:t>.</w:t>
      </w:r>
    </w:p>
    <w:p w:rsidR="00CE04BC" w:rsidRPr="007B1151" w:rsidRDefault="007B1151" w:rsidP="0047708B">
      <w:pPr>
        <w:spacing w:line="480" w:lineRule="auto"/>
        <w:rPr>
          <w:rFonts w:ascii="Arial" w:hAnsi="Arial" w:cs="Arial"/>
          <w:b/>
          <w:sz w:val="24"/>
          <w:szCs w:val="24"/>
        </w:rPr>
      </w:pPr>
      <w:r w:rsidRPr="007B1151">
        <w:rPr>
          <w:rFonts w:ascii="Arial" w:hAnsi="Arial" w:cs="Arial"/>
          <w:b/>
          <w:sz w:val="24"/>
          <w:szCs w:val="24"/>
        </w:rPr>
        <w:t>What are the new findings in this manuscript?</w:t>
      </w:r>
    </w:p>
    <w:p w:rsidR="007B1151" w:rsidRDefault="007B1151" w:rsidP="0047708B">
      <w:pPr>
        <w:spacing w:line="480" w:lineRule="auto"/>
        <w:rPr>
          <w:rFonts w:ascii="Arial" w:hAnsi="Arial" w:cs="Arial"/>
          <w:sz w:val="24"/>
          <w:szCs w:val="24"/>
        </w:rPr>
      </w:pPr>
      <w:r>
        <w:rPr>
          <w:rFonts w:ascii="Arial" w:hAnsi="Arial" w:cs="Arial"/>
          <w:sz w:val="24"/>
          <w:szCs w:val="24"/>
        </w:rPr>
        <w:t>This manuscript describes an interim analysis of the post-market approval study for the SGIBS and evaluates predictors of weight loss success for the SGIBS. Most notably, the number of lifestyle therapy sessions attending positively correlated with weight loss and a history of depression negatively correlated with weight loss at SGIBS removal</w:t>
      </w:r>
    </w:p>
    <w:p w:rsidR="007B1151" w:rsidRPr="007B1151" w:rsidRDefault="007B1151" w:rsidP="0047708B">
      <w:pPr>
        <w:spacing w:line="480" w:lineRule="auto"/>
        <w:rPr>
          <w:rFonts w:ascii="Arial" w:hAnsi="Arial" w:cs="Arial"/>
          <w:b/>
          <w:sz w:val="24"/>
          <w:szCs w:val="24"/>
        </w:rPr>
      </w:pPr>
      <w:r w:rsidRPr="007B1151">
        <w:rPr>
          <w:rFonts w:ascii="Arial" w:hAnsi="Arial" w:cs="Arial"/>
          <w:b/>
          <w:sz w:val="24"/>
          <w:szCs w:val="24"/>
        </w:rPr>
        <w:t>How might your results change the direction of research or the focus of clinical practice?</w:t>
      </w:r>
    </w:p>
    <w:p w:rsidR="007B1151" w:rsidRDefault="007B1151" w:rsidP="0047708B">
      <w:pPr>
        <w:spacing w:line="480" w:lineRule="auto"/>
        <w:rPr>
          <w:rFonts w:ascii="Arial" w:hAnsi="Arial" w:cs="Arial"/>
          <w:sz w:val="24"/>
          <w:szCs w:val="24"/>
        </w:rPr>
      </w:pPr>
      <w:r>
        <w:rPr>
          <w:rFonts w:ascii="Arial" w:hAnsi="Arial" w:cs="Arial"/>
          <w:sz w:val="24"/>
          <w:szCs w:val="24"/>
        </w:rPr>
        <w:t>The data in this manuscript highlights the importance of lifestyle therapy intensity in maximizing weight loss in a population of patients who have previously not been successful with lifestyle therapy alone.  Further research is needed to determine how to improve weight loss outcomes in patients with pre-existing depression prior to SIGBS treatment</w:t>
      </w:r>
    </w:p>
    <w:p w:rsidR="009F0B92" w:rsidRDefault="009F0B92" w:rsidP="0047708B">
      <w:pPr>
        <w:spacing w:line="480" w:lineRule="auto"/>
        <w:rPr>
          <w:rFonts w:ascii="Arial" w:hAnsi="Arial" w:cs="Arial"/>
          <w:sz w:val="24"/>
          <w:szCs w:val="24"/>
        </w:rPr>
      </w:pPr>
    </w:p>
    <w:p w:rsidR="00B57230" w:rsidRPr="006145C7" w:rsidRDefault="00B57230" w:rsidP="0047708B">
      <w:pPr>
        <w:spacing w:line="480" w:lineRule="auto"/>
        <w:rPr>
          <w:rFonts w:ascii="Arial" w:hAnsi="Arial" w:cs="Arial"/>
          <w:sz w:val="24"/>
          <w:szCs w:val="24"/>
        </w:rPr>
      </w:pPr>
      <w:r w:rsidRPr="006145C7">
        <w:rPr>
          <w:rFonts w:ascii="Arial" w:hAnsi="Arial" w:cs="Arial"/>
          <w:b/>
          <w:sz w:val="24"/>
          <w:szCs w:val="24"/>
        </w:rPr>
        <w:t>Objective</w:t>
      </w:r>
      <w:r w:rsidR="005910DE" w:rsidRPr="006145C7">
        <w:rPr>
          <w:rFonts w:ascii="Arial" w:hAnsi="Arial" w:cs="Arial"/>
          <w:b/>
          <w:sz w:val="24"/>
          <w:szCs w:val="24"/>
        </w:rPr>
        <w:t>:</w:t>
      </w:r>
      <w:r w:rsidR="00CA1540">
        <w:rPr>
          <w:rFonts w:ascii="Arial" w:hAnsi="Arial" w:cs="Arial"/>
          <w:sz w:val="24"/>
          <w:szCs w:val="24"/>
        </w:rPr>
        <w:t xml:space="preserve">To report the </w:t>
      </w:r>
      <w:r w:rsidR="007E6E66">
        <w:rPr>
          <w:rFonts w:ascii="Arial" w:hAnsi="Arial" w:cs="Arial"/>
          <w:sz w:val="24"/>
          <w:szCs w:val="24"/>
        </w:rPr>
        <w:t>predictors of successful weight loss</w:t>
      </w:r>
      <w:r w:rsidR="00CA1540">
        <w:rPr>
          <w:rFonts w:ascii="Arial" w:hAnsi="Arial" w:cs="Arial"/>
          <w:sz w:val="24"/>
          <w:szCs w:val="24"/>
        </w:rPr>
        <w:t xml:space="preserve"> in an interim analysis</w:t>
      </w:r>
      <w:r w:rsidR="00A16BD9" w:rsidRPr="006145C7">
        <w:rPr>
          <w:rFonts w:ascii="Arial" w:hAnsi="Arial" w:cs="Arial"/>
          <w:sz w:val="24"/>
          <w:szCs w:val="24"/>
        </w:rPr>
        <w:t xml:space="preserve"> of </w:t>
      </w:r>
      <w:r w:rsidR="008C3B87">
        <w:rPr>
          <w:rFonts w:ascii="Arial" w:hAnsi="Arial" w:cs="Arial"/>
          <w:sz w:val="24"/>
          <w:szCs w:val="24"/>
        </w:rPr>
        <w:t xml:space="preserve">the first 100 </w:t>
      </w:r>
      <w:r w:rsidR="00CA1540">
        <w:rPr>
          <w:rFonts w:ascii="Arial" w:hAnsi="Arial" w:cs="Arial"/>
          <w:sz w:val="24"/>
          <w:szCs w:val="24"/>
        </w:rPr>
        <w:t>patients</w:t>
      </w:r>
      <w:r w:rsidR="008C3B87">
        <w:rPr>
          <w:rFonts w:ascii="Arial" w:hAnsi="Arial" w:cs="Arial"/>
          <w:sz w:val="24"/>
          <w:szCs w:val="24"/>
        </w:rPr>
        <w:t xml:space="preserve"> treated</w:t>
      </w:r>
      <w:r w:rsidR="00CA1540">
        <w:rPr>
          <w:rFonts w:ascii="Arial" w:hAnsi="Arial" w:cs="Arial"/>
          <w:sz w:val="24"/>
          <w:szCs w:val="24"/>
        </w:rPr>
        <w:t xml:space="preserve"> in </w:t>
      </w:r>
      <w:r w:rsidR="00A16BD9" w:rsidRPr="006145C7">
        <w:rPr>
          <w:rFonts w:ascii="Arial" w:hAnsi="Arial" w:cs="Arial"/>
          <w:sz w:val="24"/>
          <w:szCs w:val="24"/>
        </w:rPr>
        <w:t xml:space="preserve">the </w:t>
      </w:r>
      <w:r w:rsidR="006238F4" w:rsidRPr="006145C7">
        <w:rPr>
          <w:rFonts w:ascii="Arial" w:hAnsi="Arial" w:cs="Arial"/>
          <w:sz w:val="24"/>
          <w:szCs w:val="24"/>
        </w:rPr>
        <w:t xml:space="preserve">swallowable gas filled intragastric balloon system </w:t>
      </w:r>
      <w:r w:rsidR="006238F4">
        <w:rPr>
          <w:rFonts w:ascii="Arial" w:hAnsi="Arial" w:cs="Arial"/>
          <w:sz w:val="24"/>
          <w:szCs w:val="24"/>
        </w:rPr>
        <w:t>(</w:t>
      </w:r>
      <w:r w:rsidR="00A16BD9" w:rsidRPr="006145C7">
        <w:rPr>
          <w:rFonts w:ascii="Arial" w:hAnsi="Arial" w:cs="Arial"/>
          <w:sz w:val="24"/>
          <w:szCs w:val="24"/>
        </w:rPr>
        <w:t>SGIBS</w:t>
      </w:r>
      <w:r w:rsidR="006238F4">
        <w:rPr>
          <w:rFonts w:ascii="Arial" w:hAnsi="Arial" w:cs="Arial"/>
          <w:sz w:val="24"/>
          <w:szCs w:val="24"/>
        </w:rPr>
        <w:t>)</w:t>
      </w:r>
      <w:r w:rsidR="008C3B87">
        <w:rPr>
          <w:rFonts w:ascii="Arial" w:hAnsi="Arial" w:cs="Arial"/>
          <w:sz w:val="24"/>
          <w:szCs w:val="24"/>
        </w:rPr>
        <w:t xml:space="preserve"> US</w:t>
      </w:r>
      <w:r w:rsidR="00A16BD9" w:rsidRPr="006145C7">
        <w:rPr>
          <w:rFonts w:ascii="Arial" w:hAnsi="Arial" w:cs="Arial"/>
          <w:sz w:val="24"/>
          <w:szCs w:val="24"/>
        </w:rPr>
        <w:t xml:space="preserve"> Post Market Approval Study</w:t>
      </w:r>
      <w:r w:rsidR="008C3B87">
        <w:rPr>
          <w:rFonts w:ascii="Arial" w:hAnsi="Arial" w:cs="Arial"/>
          <w:sz w:val="24"/>
          <w:szCs w:val="24"/>
        </w:rPr>
        <w:t>.</w:t>
      </w:r>
    </w:p>
    <w:p w:rsidR="00B57230" w:rsidRPr="006145C7" w:rsidRDefault="00CA1540" w:rsidP="00A16BD9">
      <w:pPr>
        <w:spacing w:line="480" w:lineRule="auto"/>
        <w:rPr>
          <w:rFonts w:ascii="Arial" w:hAnsi="Arial" w:cs="Arial"/>
          <w:sz w:val="24"/>
          <w:szCs w:val="24"/>
        </w:rPr>
      </w:pPr>
      <w:r>
        <w:rPr>
          <w:rFonts w:ascii="Arial" w:hAnsi="Arial" w:cs="Arial"/>
          <w:b/>
          <w:sz w:val="24"/>
          <w:szCs w:val="24"/>
        </w:rPr>
        <w:lastRenderedPageBreak/>
        <w:t xml:space="preserve">Methods: </w:t>
      </w:r>
      <w:r w:rsidR="00C65736" w:rsidRPr="006145C7">
        <w:rPr>
          <w:rFonts w:ascii="Arial" w:hAnsi="Arial" w:cs="Arial"/>
          <w:sz w:val="24"/>
          <w:szCs w:val="24"/>
        </w:rPr>
        <w:t xml:space="preserve">Patients age 22years </w:t>
      </w:r>
      <w:r w:rsidR="00BA4991">
        <w:rPr>
          <w:rFonts w:ascii="Arial" w:hAnsi="Arial" w:cs="Arial"/>
          <w:sz w:val="24"/>
          <w:szCs w:val="24"/>
        </w:rPr>
        <w:t xml:space="preserve">and </w:t>
      </w:r>
      <w:r w:rsidR="00C65736" w:rsidRPr="006145C7">
        <w:rPr>
          <w:rFonts w:ascii="Arial" w:hAnsi="Arial" w:cs="Arial"/>
          <w:sz w:val="24"/>
          <w:szCs w:val="24"/>
        </w:rPr>
        <w:t>old</w:t>
      </w:r>
      <w:r w:rsidR="00BA4991">
        <w:rPr>
          <w:rFonts w:ascii="Arial" w:hAnsi="Arial" w:cs="Arial"/>
          <w:sz w:val="24"/>
          <w:szCs w:val="24"/>
        </w:rPr>
        <w:t>er</w:t>
      </w:r>
      <w:r w:rsidR="00C65736" w:rsidRPr="006145C7">
        <w:rPr>
          <w:rFonts w:ascii="Arial" w:hAnsi="Arial" w:cs="Arial"/>
          <w:sz w:val="24"/>
          <w:szCs w:val="24"/>
        </w:rPr>
        <w:t xml:space="preserve"> with a body mass index of 30-40 kg/m</w:t>
      </w:r>
      <w:r w:rsidR="00C65736" w:rsidRPr="006145C7">
        <w:rPr>
          <w:rFonts w:ascii="Arial" w:hAnsi="Arial" w:cs="Arial"/>
          <w:sz w:val="24"/>
          <w:szCs w:val="24"/>
          <w:vertAlign w:val="superscript"/>
        </w:rPr>
        <w:t>2</w:t>
      </w:r>
      <w:r w:rsidR="00CA2E02">
        <w:rPr>
          <w:rFonts w:ascii="Arial" w:hAnsi="Arial" w:cs="Arial"/>
          <w:sz w:val="24"/>
          <w:szCs w:val="24"/>
        </w:rPr>
        <w:t xml:space="preserve"> and undergoing </w:t>
      </w:r>
      <w:r w:rsidR="00C65736" w:rsidRPr="006145C7">
        <w:rPr>
          <w:rFonts w:ascii="Arial" w:hAnsi="Arial" w:cs="Arial"/>
          <w:sz w:val="24"/>
          <w:szCs w:val="24"/>
        </w:rPr>
        <w:t>treatment with the S</w:t>
      </w:r>
      <w:r w:rsidR="004E0FD7">
        <w:rPr>
          <w:rFonts w:ascii="Arial" w:hAnsi="Arial" w:cs="Arial"/>
          <w:sz w:val="24"/>
          <w:szCs w:val="24"/>
        </w:rPr>
        <w:t xml:space="preserve">IGBS </w:t>
      </w:r>
      <w:r w:rsidR="008C3B87">
        <w:rPr>
          <w:rFonts w:ascii="Arial" w:hAnsi="Arial" w:cs="Arial"/>
          <w:sz w:val="24"/>
          <w:szCs w:val="24"/>
        </w:rPr>
        <w:t xml:space="preserve">across 13 study sites in the US </w:t>
      </w:r>
      <w:r w:rsidR="004E0FD7">
        <w:rPr>
          <w:rFonts w:ascii="Arial" w:hAnsi="Arial" w:cs="Arial"/>
          <w:sz w:val="24"/>
          <w:szCs w:val="24"/>
        </w:rPr>
        <w:t>were eligible</w:t>
      </w:r>
      <w:r w:rsidR="00C65736" w:rsidRPr="006145C7">
        <w:rPr>
          <w:rFonts w:ascii="Arial" w:hAnsi="Arial" w:cs="Arial"/>
          <w:sz w:val="24"/>
          <w:szCs w:val="24"/>
        </w:rPr>
        <w:t xml:space="preserve">. </w:t>
      </w:r>
      <w:r w:rsidR="008C3B87">
        <w:rPr>
          <w:rFonts w:ascii="Arial" w:hAnsi="Arial" w:cs="Arial"/>
          <w:sz w:val="24"/>
          <w:szCs w:val="24"/>
        </w:rPr>
        <w:t>The main outcomes were</w:t>
      </w:r>
      <w:r>
        <w:rPr>
          <w:rFonts w:ascii="Arial" w:hAnsi="Arial" w:cs="Arial"/>
          <w:sz w:val="24"/>
          <w:szCs w:val="24"/>
        </w:rPr>
        <w:t xml:space="preserve"> p</w:t>
      </w:r>
      <w:r w:rsidRPr="006145C7">
        <w:rPr>
          <w:rFonts w:ascii="Arial" w:hAnsi="Arial" w:cs="Arial"/>
          <w:sz w:val="24"/>
          <w:szCs w:val="24"/>
        </w:rPr>
        <w:t>ercent total body weight loss (%TBWL) at balloon removal</w:t>
      </w:r>
      <w:r w:rsidR="008C3B87">
        <w:rPr>
          <w:rFonts w:ascii="Arial" w:hAnsi="Arial" w:cs="Arial"/>
          <w:sz w:val="24"/>
          <w:szCs w:val="24"/>
        </w:rPr>
        <w:t xml:space="preserve"> and</w:t>
      </w:r>
      <w:r>
        <w:rPr>
          <w:rFonts w:ascii="Arial" w:hAnsi="Arial" w:cs="Arial"/>
          <w:sz w:val="24"/>
          <w:szCs w:val="24"/>
        </w:rPr>
        <w:t xml:space="preserve"> predictors of weight loss success</w:t>
      </w:r>
      <w:r w:rsidR="008C3B87">
        <w:rPr>
          <w:rFonts w:ascii="Arial" w:hAnsi="Arial" w:cs="Arial"/>
          <w:sz w:val="24"/>
          <w:szCs w:val="24"/>
        </w:rPr>
        <w:t xml:space="preserve"> at balloon removal</w:t>
      </w:r>
      <w:r w:rsidR="00B353E7" w:rsidRPr="006145C7">
        <w:rPr>
          <w:rFonts w:ascii="Arial" w:hAnsi="Arial" w:cs="Arial"/>
          <w:sz w:val="24"/>
          <w:szCs w:val="24"/>
        </w:rPr>
        <w:t xml:space="preserve">. </w:t>
      </w:r>
    </w:p>
    <w:p w:rsidR="00B57230" w:rsidRPr="006145C7" w:rsidRDefault="00B57230" w:rsidP="0047708B">
      <w:pPr>
        <w:spacing w:line="480" w:lineRule="auto"/>
        <w:rPr>
          <w:rFonts w:ascii="Arial" w:hAnsi="Arial" w:cs="Arial"/>
          <w:sz w:val="24"/>
          <w:szCs w:val="24"/>
        </w:rPr>
      </w:pPr>
      <w:r w:rsidRPr="006145C7">
        <w:rPr>
          <w:rFonts w:ascii="Arial" w:hAnsi="Arial" w:cs="Arial"/>
          <w:b/>
          <w:sz w:val="24"/>
          <w:szCs w:val="24"/>
        </w:rPr>
        <w:t>Results</w:t>
      </w:r>
      <w:r w:rsidR="005910DE" w:rsidRPr="006145C7">
        <w:rPr>
          <w:rFonts w:ascii="Arial" w:hAnsi="Arial" w:cs="Arial"/>
          <w:b/>
          <w:sz w:val="24"/>
          <w:szCs w:val="24"/>
        </w:rPr>
        <w:t xml:space="preserve">: </w:t>
      </w:r>
      <w:r w:rsidR="008C3B87">
        <w:rPr>
          <w:rFonts w:ascii="Arial" w:hAnsi="Arial" w:cs="Arial"/>
          <w:sz w:val="24"/>
          <w:szCs w:val="24"/>
        </w:rPr>
        <w:t>One Hundred</w:t>
      </w:r>
      <w:r w:rsidR="00B353E7" w:rsidRPr="006145C7">
        <w:rPr>
          <w:rFonts w:ascii="Arial" w:hAnsi="Arial" w:cs="Arial"/>
          <w:sz w:val="24"/>
          <w:szCs w:val="24"/>
        </w:rPr>
        <w:t xml:space="preserve"> patients (age 43.2 ± 10.2, BMI 35.2 ± 3.1 kg/m², female sex 75%)  were included in the modified intention to treat analysis (mITT) and n=89 patients were included in the Completer analysis. Weight loss at balloon removal was 10.1% ± 6.2% and 10.7% ± 6.1% TBWL in the mITT and Completer analyses, respectively.</w:t>
      </w:r>
      <w:r w:rsidR="006238F4">
        <w:rPr>
          <w:rFonts w:ascii="Arial" w:hAnsi="Arial" w:cs="Arial"/>
          <w:sz w:val="24"/>
          <w:szCs w:val="24"/>
        </w:rPr>
        <w:t xml:space="preserve"> The number of lifestyle therapy</w:t>
      </w:r>
      <w:r w:rsidR="00A4633C">
        <w:rPr>
          <w:rFonts w:ascii="Arial" w:hAnsi="Arial" w:cs="Arial"/>
          <w:sz w:val="24"/>
          <w:szCs w:val="24"/>
        </w:rPr>
        <w:t xml:space="preserve"> session</w:t>
      </w:r>
      <w:r w:rsidR="006238F4">
        <w:rPr>
          <w:rFonts w:ascii="Arial" w:hAnsi="Arial" w:cs="Arial"/>
          <w:sz w:val="24"/>
          <w:szCs w:val="24"/>
        </w:rPr>
        <w:t>s positively correlated</w:t>
      </w:r>
      <w:r w:rsidR="00A4633C">
        <w:rPr>
          <w:rFonts w:ascii="Arial" w:hAnsi="Arial" w:cs="Arial"/>
          <w:sz w:val="24"/>
          <w:szCs w:val="24"/>
        </w:rPr>
        <w:t xml:space="preserve"> with weight </w:t>
      </w:r>
      <w:r w:rsidR="008C3B87">
        <w:rPr>
          <w:rFonts w:ascii="Arial" w:hAnsi="Arial" w:cs="Arial"/>
          <w:sz w:val="24"/>
          <w:szCs w:val="24"/>
        </w:rPr>
        <w:t xml:space="preserve">loss at balloon </w:t>
      </w:r>
      <w:r w:rsidR="006238F4">
        <w:rPr>
          <w:rFonts w:ascii="Arial" w:hAnsi="Arial" w:cs="Arial"/>
          <w:sz w:val="24"/>
          <w:szCs w:val="24"/>
        </w:rPr>
        <w:t xml:space="preserve">system </w:t>
      </w:r>
      <w:r w:rsidR="008C3B87">
        <w:rPr>
          <w:rFonts w:ascii="Arial" w:hAnsi="Arial" w:cs="Arial"/>
          <w:sz w:val="24"/>
          <w:szCs w:val="24"/>
        </w:rPr>
        <w:t>removal</w:t>
      </w:r>
      <w:r w:rsidR="006238F4">
        <w:rPr>
          <w:rFonts w:ascii="Arial" w:hAnsi="Arial" w:cs="Arial"/>
          <w:sz w:val="24"/>
          <w:szCs w:val="24"/>
        </w:rPr>
        <w:t xml:space="preserve"> and a history of depression negatively correlated with weight loss at balloon system removal</w:t>
      </w:r>
      <w:r w:rsidR="00B353E7" w:rsidRPr="006145C7">
        <w:rPr>
          <w:rFonts w:ascii="Arial" w:hAnsi="Arial" w:cs="Arial"/>
          <w:sz w:val="24"/>
          <w:szCs w:val="24"/>
        </w:rPr>
        <w:t>. No serious adverse events occurred.</w:t>
      </w:r>
    </w:p>
    <w:p w:rsidR="00B57230" w:rsidRPr="006145C7" w:rsidRDefault="00B57230" w:rsidP="0047708B">
      <w:pPr>
        <w:spacing w:line="480" w:lineRule="auto"/>
        <w:rPr>
          <w:rFonts w:ascii="Arial" w:hAnsi="Arial" w:cs="Arial"/>
          <w:sz w:val="24"/>
          <w:szCs w:val="24"/>
        </w:rPr>
      </w:pPr>
      <w:r w:rsidRPr="006145C7">
        <w:rPr>
          <w:rFonts w:ascii="Arial" w:hAnsi="Arial" w:cs="Arial"/>
          <w:b/>
          <w:sz w:val="24"/>
          <w:szCs w:val="24"/>
        </w:rPr>
        <w:t>Conclusion</w:t>
      </w:r>
      <w:r w:rsidR="00B353E7" w:rsidRPr="006145C7">
        <w:rPr>
          <w:rFonts w:ascii="Arial" w:hAnsi="Arial" w:cs="Arial"/>
          <w:b/>
          <w:sz w:val="24"/>
          <w:szCs w:val="24"/>
        </w:rPr>
        <w:t xml:space="preserve">: </w:t>
      </w:r>
      <w:r w:rsidR="008C3B87">
        <w:rPr>
          <w:rFonts w:ascii="Arial" w:hAnsi="Arial" w:cs="Arial"/>
          <w:sz w:val="24"/>
          <w:szCs w:val="24"/>
        </w:rPr>
        <w:t>This analysis demonstratesignificant weight loss with the SGIBS and the importance of lifestyle therapy to maximize weight loss</w:t>
      </w:r>
      <w:r w:rsidR="00B353E7" w:rsidRPr="006145C7">
        <w:rPr>
          <w:rFonts w:ascii="Arial" w:hAnsi="Arial" w:cs="Arial"/>
          <w:sz w:val="24"/>
          <w:szCs w:val="24"/>
        </w:rPr>
        <w:t xml:space="preserve">. </w:t>
      </w:r>
      <w:r w:rsidR="00E00299">
        <w:rPr>
          <w:rFonts w:ascii="Arial" w:hAnsi="Arial" w:cs="Arial"/>
          <w:sz w:val="24"/>
          <w:szCs w:val="24"/>
        </w:rPr>
        <w:t>Further research is needed to determine how to improve weight loss outcomes in patients with a history of depression.</w:t>
      </w:r>
    </w:p>
    <w:p w:rsidR="00E00299" w:rsidRDefault="00E00299" w:rsidP="0047708B">
      <w:pPr>
        <w:spacing w:line="480" w:lineRule="auto"/>
        <w:rPr>
          <w:rFonts w:ascii="Arial" w:hAnsi="Arial" w:cs="Arial"/>
          <w:b/>
          <w:sz w:val="24"/>
          <w:szCs w:val="24"/>
        </w:rPr>
      </w:pPr>
    </w:p>
    <w:p w:rsidR="00E00299" w:rsidRDefault="00E00299" w:rsidP="0047708B">
      <w:pPr>
        <w:spacing w:line="480" w:lineRule="auto"/>
        <w:rPr>
          <w:rFonts w:ascii="Arial" w:hAnsi="Arial" w:cs="Arial"/>
          <w:b/>
          <w:sz w:val="24"/>
          <w:szCs w:val="24"/>
        </w:rPr>
      </w:pPr>
    </w:p>
    <w:p w:rsidR="00E00299" w:rsidRDefault="00E00299" w:rsidP="0047708B">
      <w:pPr>
        <w:spacing w:line="480" w:lineRule="auto"/>
        <w:rPr>
          <w:rFonts w:ascii="Arial" w:hAnsi="Arial" w:cs="Arial"/>
          <w:b/>
          <w:sz w:val="24"/>
          <w:szCs w:val="24"/>
        </w:rPr>
      </w:pPr>
    </w:p>
    <w:p w:rsidR="00E00299" w:rsidRDefault="00137962" w:rsidP="0010636A">
      <w:pPr>
        <w:spacing w:line="480" w:lineRule="auto"/>
        <w:rPr>
          <w:rFonts w:ascii="Arial" w:hAnsi="Arial" w:cs="Arial"/>
          <w:b/>
          <w:sz w:val="24"/>
          <w:szCs w:val="24"/>
        </w:rPr>
      </w:pPr>
      <w:r w:rsidRPr="006145C7">
        <w:rPr>
          <w:rFonts w:ascii="Arial" w:hAnsi="Arial" w:cs="Arial"/>
          <w:b/>
          <w:sz w:val="24"/>
          <w:szCs w:val="24"/>
        </w:rPr>
        <w:t>Abbreviations:</w:t>
      </w:r>
      <w:r w:rsidR="00C8593A" w:rsidRPr="006145C7">
        <w:rPr>
          <w:rFonts w:ascii="Arial" w:hAnsi="Arial" w:cs="Arial"/>
          <w:sz w:val="24"/>
          <w:szCs w:val="24"/>
        </w:rPr>
        <w:t xml:space="preserve">Body Mass Index (BMI), </w:t>
      </w:r>
      <w:r w:rsidRPr="006145C7">
        <w:rPr>
          <w:rFonts w:ascii="Arial" w:hAnsi="Arial" w:cs="Arial"/>
          <w:sz w:val="24"/>
          <w:szCs w:val="24"/>
        </w:rPr>
        <w:t xml:space="preserve">Endoscopic Bariatric Therapy (EBT), </w:t>
      </w:r>
      <w:r w:rsidR="00C8593A" w:rsidRPr="006145C7">
        <w:rPr>
          <w:rFonts w:ascii="Arial" w:hAnsi="Arial" w:cs="Arial"/>
          <w:sz w:val="24"/>
          <w:szCs w:val="24"/>
        </w:rPr>
        <w:t xml:space="preserve">Percent Excess Weight Loss (%EWL), Percent Total Body Weight Loss (%TBWL), </w:t>
      </w:r>
      <w:r w:rsidRPr="006145C7">
        <w:rPr>
          <w:rFonts w:ascii="Arial" w:hAnsi="Arial" w:cs="Arial"/>
          <w:sz w:val="24"/>
          <w:szCs w:val="24"/>
        </w:rPr>
        <w:t>Swallowable Gas-Filled Intragastric Balloon System (SGIBS)</w:t>
      </w:r>
      <w:r w:rsidR="0010636A">
        <w:rPr>
          <w:rFonts w:ascii="Arial" w:hAnsi="Arial" w:cs="Arial"/>
          <w:sz w:val="24"/>
          <w:szCs w:val="24"/>
        </w:rPr>
        <w:t>.</w:t>
      </w:r>
    </w:p>
    <w:p w:rsidR="00894733" w:rsidRPr="009F0B92" w:rsidRDefault="00894733" w:rsidP="0047708B">
      <w:pPr>
        <w:spacing w:line="480" w:lineRule="auto"/>
        <w:rPr>
          <w:rFonts w:ascii="Arial" w:hAnsi="Arial" w:cs="Arial"/>
          <w:sz w:val="24"/>
          <w:szCs w:val="24"/>
        </w:rPr>
      </w:pPr>
      <w:r w:rsidRPr="006145C7">
        <w:rPr>
          <w:rFonts w:ascii="Arial" w:hAnsi="Arial" w:cs="Arial"/>
          <w:b/>
          <w:sz w:val="24"/>
          <w:szCs w:val="24"/>
        </w:rPr>
        <w:t>Introduction</w:t>
      </w:r>
    </w:p>
    <w:p w:rsidR="003F6242" w:rsidRPr="006145C7" w:rsidRDefault="003F6242" w:rsidP="0047708B">
      <w:pPr>
        <w:spacing w:line="480" w:lineRule="auto"/>
        <w:rPr>
          <w:rFonts w:ascii="Arial" w:hAnsi="Arial" w:cs="Arial"/>
          <w:sz w:val="24"/>
          <w:szCs w:val="24"/>
        </w:rPr>
      </w:pPr>
      <w:r w:rsidRPr="006145C7">
        <w:rPr>
          <w:rFonts w:ascii="Arial" w:hAnsi="Arial" w:cs="Arial"/>
          <w:sz w:val="24"/>
          <w:szCs w:val="24"/>
        </w:rPr>
        <w:lastRenderedPageBreak/>
        <w:tab/>
      </w:r>
      <w:r w:rsidR="003138B7" w:rsidRPr="006145C7">
        <w:rPr>
          <w:rFonts w:ascii="Arial" w:hAnsi="Arial" w:cs="Arial"/>
          <w:sz w:val="24"/>
          <w:szCs w:val="24"/>
        </w:rPr>
        <w:t>Obesity affects 39.6</w:t>
      </w:r>
      <w:r w:rsidRPr="006145C7">
        <w:rPr>
          <w:rFonts w:ascii="Arial" w:hAnsi="Arial" w:cs="Arial"/>
          <w:sz w:val="24"/>
          <w:szCs w:val="24"/>
        </w:rPr>
        <w:t>% of adults in the US</w:t>
      </w:r>
      <w:r w:rsidR="0066364F" w:rsidRPr="0066364F">
        <w:rPr>
          <w:rFonts w:ascii="Arial" w:hAnsi="Arial" w:cs="Arial"/>
          <w:noProof/>
          <w:sz w:val="24"/>
          <w:szCs w:val="24"/>
          <w:vertAlign w:val="superscript"/>
        </w:rPr>
        <w:t>1</w:t>
      </w:r>
      <w:r w:rsidRPr="006145C7">
        <w:rPr>
          <w:rFonts w:ascii="Arial" w:hAnsi="Arial" w:cs="Arial"/>
          <w:sz w:val="24"/>
          <w:szCs w:val="24"/>
        </w:rPr>
        <w:t xml:space="preserve">.  Treatment strategies of lifestyle therapy, weight loss medications, and bariatric surgery have not been sufficient to halt the increase in prevalence of obesity.  This may in part be due to low numbers of patients treated with weight loss medications and bariatric surgery, both of which have been demonstrated to achieve more weight loss than lifestyle therapy alone.  </w:t>
      </w:r>
      <w:r w:rsidR="003B1B84" w:rsidRPr="006145C7">
        <w:rPr>
          <w:rFonts w:ascii="Arial" w:hAnsi="Arial" w:cs="Arial"/>
          <w:sz w:val="24"/>
          <w:szCs w:val="24"/>
        </w:rPr>
        <w:t>Several studies suggest only 1</w:t>
      </w:r>
      <w:r w:rsidRPr="006145C7">
        <w:rPr>
          <w:rFonts w:ascii="Arial" w:hAnsi="Arial" w:cs="Arial"/>
          <w:sz w:val="24"/>
          <w:szCs w:val="24"/>
        </w:rPr>
        <w:t>-2% of patients who meet criteria are treated wi</w:t>
      </w:r>
      <w:r w:rsidR="003B1B84" w:rsidRPr="006145C7">
        <w:rPr>
          <w:rFonts w:ascii="Arial" w:hAnsi="Arial" w:cs="Arial"/>
          <w:sz w:val="24"/>
          <w:szCs w:val="24"/>
        </w:rPr>
        <w:t>th weight loss medications</w:t>
      </w:r>
      <w:r w:rsidRPr="006145C7">
        <w:rPr>
          <w:rFonts w:ascii="Arial" w:hAnsi="Arial" w:cs="Arial"/>
          <w:sz w:val="24"/>
          <w:szCs w:val="24"/>
        </w:rPr>
        <w:t xml:space="preserve"> and only 1% of patients who meet criteria for bariatric surgery undergo bariatric surgery each year</w:t>
      </w:r>
      <w:r w:rsidR="0066364F" w:rsidRPr="0066364F">
        <w:rPr>
          <w:rFonts w:ascii="Arial" w:hAnsi="Arial" w:cs="Arial"/>
          <w:noProof/>
          <w:sz w:val="24"/>
          <w:szCs w:val="24"/>
          <w:vertAlign w:val="superscript"/>
        </w:rPr>
        <w:t>2-4</w:t>
      </w:r>
      <w:r w:rsidRPr="006145C7">
        <w:rPr>
          <w:rFonts w:ascii="Arial" w:hAnsi="Arial" w:cs="Arial"/>
          <w:sz w:val="24"/>
          <w:szCs w:val="24"/>
        </w:rPr>
        <w:t xml:space="preserve">.  There are likely multiple factors contributing to the low numbers of patients treated for obesity, but patient preference is likely a major contributing factor.  This </w:t>
      </w:r>
      <w:r w:rsidR="0012322C" w:rsidRPr="006145C7">
        <w:rPr>
          <w:rFonts w:ascii="Arial" w:hAnsi="Arial" w:cs="Arial"/>
          <w:sz w:val="24"/>
          <w:szCs w:val="24"/>
        </w:rPr>
        <w:t>supports the need for additional therapies to treat obesity.</w:t>
      </w:r>
    </w:p>
    <w:p w:rsidR="00207323" w:rsidRPr="006145C7" w:rsidRDefault="0012322C" w:rsidP="0047708B">
      <w:pPr>
        <w:spacing w:line="480" w:lineRule="auto"/>
        <w:rPr>
          <w:rFonts w:ascii="Arial" w:hAnsi="Arial" w:cs="Arial"/>
          <w:sz w:val="24"/>
          <w:szCs w:val="24"/>
        </w:rPr>
      </w:pPr>
      <w:r w:rsidRPr="006145C7">
        <w:rPr>
          <w:rFonts w:ascii="Arial" w:hAnsi="Arial" w:cs="Arial"/>
          <w:sz w:val="24"/>
          <w:szCs w:val="24"/>
        </w:rPr>
        <w:tab/>
        <w:t>Recently, a new class of the</w:t>
      </w:r>
      <w:r w:rsidR="003138B7" w:rsidRPr="006145C7">
        <w:rPr>
          <w:rFonts w:ascii="Arial" w:hAnsi="Arial" w:cs="Arial"/>
          <w:sz w:val="24"/>
          <w:szCs w:val="24"/>
        </w:rPr>
        <w:t xml:space="preserve">rapies, </w:t>
      </w:r>
      <w:r w:rsidRPr="006145C7">
        <w:rPr>
          <w:rFonts w:ascii="Arial" w:hAnsi="Arial" w:cs="Arial"/>
          <w:sz w:val="24"/>
          <w:szCs w:val="24"/>
        </w:rPr>
        <w:t>endoscopic bariatric therapies (EBT)</w:t>
      </w:r>
      <w:r w:rsidR="003138B7" w:rsidRPr="006145C7">
        <w:rPr>
          <w:rFonts w:ascii="Arial" w:hAnsi="Arial" w:cs="Arial"/>
          <w:sz w:val="24"/>
          <w:szCs w:val="24"/>
        </w:rPr>
        <w:t>, has emerged as a treatment option for patients with obesity</w:t>
      </w:r>
      <w:r w:rsidRPr="006145C7">
        <w:rPr>
          <w:rFonts w:ascii="Arial" w:hAnsi="Arial" w:cs="Arial"/>
          <w:sz w:val="24"/>
          <w:szCs w:val="24"/>
        </w:rPr>
        <w:t>. These are devices or procedures that are placed or performed endoscopically.</w:t>
      </w:r>
      <w:r w:rsidR="003138B7" w:rsidRPr="006145C7">
        <w:rPr>
          <w:rFonts w:ascii="Arial" w:hAnsi="Arial" w:cs="Arial"/>
          <w:sz w:val="24"/>
          <w:szCs w:val="24"/>
        </w:rPr>
        <w:t xml:space="preserve">One type of EBT is the intragastric balloon, one of which is the Swallowable Gas-Filled Intragastric Balloon System (SGIBS).  </w:t>
      </w:r>
      <w:r w:rsidR="00207323" w:rsidRPr="006145C7">
        <w:rPr>
          <w:rFonts w:ascii="Arial" w:hAnsi="Arial" w:cs="Arial"/>
          <w:sz w:val="24"/>
          <w:szCs w:val="24"/>
        </w:rPr>
        <w:t>The SGIBS is comprised of 3 multilayer polymeric balloons, each filled with 250 ccc of a nitrogen mix gas.  The balloons are administered deflated and folded within a hard cellulose</w:t>
      </w:r>
      <w:r w:rsidR="00F34690" w:rsidRPr="006145C7">
        <w:rPr>
          <w:rFonts w:ascii="Arial" w:hAnsi="Arial" w:cs="Arial"/>
          <w:sz w:val="24"/>
          <w:szCs w:val="24"/>
        </w:rPr>
        <w:t xml:space="preserve"> or gelatin</w:t>
      </w:r>
      <w:r w:rsidR="00207323" w:rsidRPr="006145C7">
        <w:rPr>
          <w:rFonts w:ascii="Arial" w:hAnsi="Arial" w:cs="Arial"/>
          <w:sz w:val="24"/>
          <w:szCs w:val="24"/>
        </w:rPr>
        <w:t xml:space="preserve"> U.S Pharmacopeia – grade capsule and attached to a thin catheter. After the capsule is swallowed, advancement to the stomach is verified with both a navigation system and </w:t>
      </w:r>
      <w:r w:rsidR="009315E8" w:rsidRPr="006145C7">
        <w:rPr>
          <w:rFonts w:ascii="Arial" w:hAnsi="Arial" w:cs="Arial"/>
          <w:sz w:val="24"/>
          <w:szCs w:val="24"/>
        </w:rPr>
        <w:t xml:space="preserve">pressure </w:t>
      </w:r>
      <w:r w:rsidR="00F34690" w:rsidRPr="006145C7">
        <w:rPr>
          <w:rFonts w:ascii="Arial" w:hAnsi="Arial" w:cs="Arial"/>
          <w:sz w:val="24"/>
          <w:szCs w:val="24"/>
        </w:rPr>
        <w:t>gauge</w:t>
      </w:r>
      <w:r w:rsidR="009315E8" w:rsidRPr="006145C7">
        <w:rPr>
          <w:rFonts w:ascii="Arial" w:hAnsi="Arial" w:cs="Arial"/>
          <w:sz w:val="24"/>
          <w:szCs w:val="24"/>
        </w:rPr>
        <w:t>. The balloon is then inflated and the catheter is ejected from the balloon. This process is repeated for the second and third balloon, all of which are administered separately within 6-12 weeks after administration of the first balloon</w:t>
      </w:r>
      <w:r w:rsidR="0066364F" w:rsidRPr="0066364F">
        <w:rPr>
          <w:rFonts w:ascii="Arial" w:hAnsi="Arial" w:cs="Arial"/>
          <w:noProof/>
          <w:sz w:val="24"/>
          <w:szCs w:val="24"/>
          <w:vertAlign w:val="superscript"/>
        </w:rPr>
        <w:t>5,6</w:t>
      </w:r>
      <w:r w:rsidR="009315E8" w:rsidRPr="006145C7">
        <w:rPr>
          <w:rFonts w:ascii="Arial" w:hAnsi="Arial" w:cs="Arial"/>
          <w:sz w:val="24"/>
          <w:szCs w:val="24"/>
        </w:rPr>
        <w:t>.</w:t>
      </w:r>
    </w:p>
    <w:p w:rsidR="00894733" w:rsidRPr="006145C7" w:rsidRDefault="003138B7" w:rsidP="009D00C1">
      <w:pPr>
        <w:spacing w:line="480" w:lineRule="auto"/>
        <w:ind w:firstLine="720"/>
        <w:rPr>
          <w:rFonts w:ascii="Arial" w:hAnsi="Arial" w:cs="Arial"/>
          <w:sz w:val="24"/>
          <w:szCs w:val="24"/>
        </w:rPr>
      </w:pPr>
      <w:r w:rsidRPr="006145C7">
        <w:rPr>
          <w:rFonts w:ascii="Arial" w:hAnsi="Arial" w:cs="Arial"/>
          <w:sz w:val="24"/>
          <w:szCs w:val="24"/>
        </w:rPr>
        <w:lastRenderedPageBreak/>
        <w:t xml:space="preserve">This </w:t>
      </w:r>
      <w:r w:rsidR="009315E8" w:rsidRPr="006145C7">
        <w:rPr>
          <w:rFonts w:ascii="Arial" w:hAnsi="Arial" w:cs="Arial"/>
          <w:sz w:val="24"/>
          <w:szCs w:val="24"/>
        </w:rPr>
        <w:t>SGIBS</w:t>
      </w:r>
      <w:r w:rsidRPr="006145C7">
        <w:rPr>
          <w:rFonts w:ascii="Arial" w:hAnsi="Arial" w:cs="Arial"/>
          <w:sz w:val="24"/>
          <w:szCs w:val="24"/>
        </w:rPr>
        <w:t xml:space="preserve"> was approved </w:t>
      </w:r>
      <w:r w:rsidR="009315E8" w:rsidRPr="006145C7">
        <w:rPr>
          <w:rFonts w:ascii="Arial" w:hAnsi="Arial" w:cs="Arial"/>
          <w:sz w:val="24"/>
          <w:szCs w:val="24"/>
        </w:rPr>
        <w:t xml:space="preserve">for use in the United States </w:t>
      </w:r>
      <w:r w:rsidRPr="006145C7">
        <w:rPr>
          <w:rFonts w:ascii="Arial" w:hAnsi="Arial" w:cs="Arial"/>
          <w:sz w:val="24"/>
          <w:szCs w:val="24"/>
        </w:rPr>
        <w:t>based on the results of a US multi-center randomized sham-controlled trial demonstrating twice as much weight loss with the SGIBS</w:t>
      </w:r>
      <w:r w:rsidR="009315E8" w:rsidRPr="006145C7">
        <w:rPr>
          <w:rFonts w:ascii="Arial" w:hAnsi="Arial" w:cs="Arial"/>
          <w:sz w:val="24"/>
          <w:szCs w:val="24"/>
        </w:rPr>
        <w:t xml:space="preserve"> compared with</w:t>
      </w:r>
      <w:r w:rsidRPr="006145C7">
        <w:rPr>
          <w:rFonts w:ascii="Arial" w:hAnsi="Arial" w:cs="Arial"/>
          <w:sz w:val="24"/>
          <w:szCs w:val="24"/>
        </w:rPr>
        <w:t xml:space="preserve"> lifestyle therapy alone and a low serious adverse event rate of 0.3%</w:t>
      </w:r>
      <w:r w:rsidR="0066364F" w:rsidRPr="0066364F">
        <w:rPr>
          <w:rFonts w:ascii="Arial" w:hAnsi="Arial" w:cs="Arial"/>
          <w:noProof/>
          <w:sz w:val="24"/>
          <w:szCs w:val="24"/>
          <w:vertAlign w:val="superscript"/>
        </w:rPr>
        <w:t>6</w:t>
      </w:r>
      <w:r w:rsidRPr="006145C7">
        <w:rPr>
          <w:rFonts w:ascii="Arial" w:hAnsi="Arial" w:cs="Arial"/>
          <w:sz w:val="24"/>
          <w:szCs w:val="24"/>
        </w:rPr>
        <w:t>.  This continued safety pr</w:t>
      </w:r>
      <w:r w:rsidR="009315E8" w:rsidRPr="006145C7">
        <w:rPr>
          <w:rFonts w:ascii="Arial" w:hAnsi="Arial" w:cs="Arial"/>
          <w:sz w:val="24"/>
          <w:szCs w:val="24"/>
        </w:rPr>
        <w:t xml:space="preserve">ofile was seen with the </w:t>
      </w:r>
      <w:r w:rsidRPr="006145C7">
        <w:rPr>
          <w:rFonts w:ascii="Arial" w:hAnsi="Arial" w:cs="Arial"/>
          <w:sz w:val="24"/>
          <w:szCs w:val="24"/>
        </w:rPr>
        <w:t>US prospective clinical balloon registry</w:t>
      </w:r>
      <w:r w:rsidR="00207323" w:rsidRPr="006145C7">
        <w:rPr>
          <w:rFonts w:ascii="Arial" w:hAnsi="Arial" w:cs="Arial"/>
          <w:sz w:val="24"/>
          <w:szCs w:val="24"/>
        </w:rPr>
        <w:t xml:space="preserve">, </w:t>
      </w:r>
      <w:r w:rsidR="009315E8" w:rsidRPr="006145C7">
        <w:rPr>
          <w:rFonts w:ascii="Arial" w:hAnsi="Arial" w:cs="Arial"/>
          <w:sz w:val="24"/>
          <w:szCs w:val="24"/>
        </w:rPr>
        <w:t xml:space="preserve">the largest US balloon registry to date, </w:t>
      </w:r>
      <w:r w:rsidR="00207323" w:rsidRPr="006145C7">
        <w:rPr>
          <w:rFonts w:ascii="Arial" w:hAnsi="Arial" w:cs="Arial"/>
          <w:sz w:val="24"/>
          <w:szCs w:val="24"/>
        </w:rPr>
        <w:t xml:space="preserve">demonstrating a serious adverse event rate of 0.15% and weight loss of </w:t>
      </w:r>
      <w:r w:rsidR="009315E8" w:rsidRPr="006145C7">
        <w:rPr>
          <w:rFonts w:ascii="Arial" w:hAnsi="Arial" w:cs="Arial"/>
          <w:sz w:val="24"/>
          <w:szCs w:val="24"/>
        </w:rPr>
        <w:t>10.0±6.1% TBWL in the indicated patient population with the intended use</w:t>
      </w:r>
      <w:r w:rsidR="0066364F" w:rsidRPr="0066364F">
        <w:rPr>
          <w:rFonts w:ascii="Arial" w:hAnsi="Arial" w:cs="Arial"/>
          <w:noProof/>
          <w:sz w:val="24"/>
          <w:szCs w:val="24"/>
          <w:vertAlign w:val="superscript"/>
        </w:rPr>
        <w:t>5</w:t>
      </w:r>
      <w:r w:rsidR="009315E8" w:rsidRPr="006145C7">
        <w:rPr>
          <w:rFonts w:ascii="Arial" w:hAnsi="Arial" w:cs="Arial"/>
          <w:sz w:val="24"/>
          <w:szCs w:val="24"/>
        </w:rPr>
        <w:t>.</w:t>
      </w:r>
      <w:r w:rsidR="00136CC5">
        <w:rPr>
          <w:rFonts w:ascii="Arial" w:hAnsi="Arial" w:cs="Arial"/>
          <w:sz w:val="24"/>
          <w:szCs w:val="24"/>
        </w:rPr>
        <w:t>However, no intragastric balloon studies in the US</w:t>
      </w:r>
      <w:r w:rsidR="00391497">
        <w:rPr>
          <w:rFonts w:ascii="Arial" w:hAnsi="Arial" w:cs="Arial"/>
          <w:sz w:val="24"/>
          <w:szCs w:val="24"/>
        </w:rPr>
        <w:t xml:space="preserve"> have evaluated factors that are associated with weight loss.</w:t>
      </w:r>
      <w:r w:rsidR="00C11AFB" w:rsidRPr="006145C7">
        <w:rPr>
          <w:rFonts w:ascii="Arial" w:hAnsi="Arial" w:cs="Arial"/>
          <w:sz w:val="24"/>
          <w:szCs w:val="24"/>
        </w:rPr>
        <w:t>A post-market approval study of the SGIBS was started in 2018 with the primary aim of evaluating system performance and safety in clinical practice</w:t>
      </w:r>
      <w:r w:rsidR="00C11AFB">
        <w:rPr>
          <w:rFonts w:ascii="Arial" w:hAnsi="Arial" w:cs="Arial"/>
          <w:sz w:val="24"/>
          <w:szCs w:val="24"/>
        </w:rPr>
        <w:t xml:space="preserve">.  </w:t>
      </w:r>
      <w:r w:rsidR="008B24E3" w:rsidRPr="006145C7">
        <w:rPr>
          <w:rFonts w:ascii="Arial" w:hAnsi="Arial" w:cs="Arial"/>
          <w:sz w:val="24"/>
          <w:szCs w:val="24"/>
        </w:rPr>
        <w:t>The aim of this manuscript is to describe the weight loss</w:t>
      </w:r>
      <w:r w:rsidR="00391497">
        <w:rPr>
          <w:rFonts w:ascii="Arial" w:hAnsi="Arial" w:cs="Arial"/>
          <w:sz w:val="24"/>
          <w:szCs w:val="24"/>
        </w:rPr>
        <w:t xml:space="preserve"> and predictors of weight loss success</w:t>
      </w:r>
      <w:r w:rsidR="002F2936">
        <w:rPr>
          <w:rFonts w:ascii="Arial" w:hAnsi="Arial" w:cs="Arial"/>
          <w:sz w:val="24"/>
          <w:szCs w:val="24"/>
        </w:rPr>
        <w:t xml:space="preserve"> at balloon system removal</w:t>
      </w:r>
      <w:r w:rsidR="008B24E3" w:rsidRPr="006145C7">
        <w:rPr>
          <w:rFonts w:ascii="Arial" w:hAnsi="Arial" w:cs="Arial"/>
          <w:sz w:val="24"/>
          <w:szCs w:val="24"/>
        </w:rPr>
        <w:t xml:space="preserve"> in the first 100 patients enrolled in the post-market approval study.</w:t>
      </w:r>
      <w:r w:rsidR="007E0E02" w:rsidRPr="006145C7">
        <w:rPr>
          <w:rFonts w:ascii="Arial" w:hAnsi="Arial" w:cs="Arial"/>
          <w:sz w:val="24"/>
          <w:szCs w:val="24"/>
        </w:rPr>
        <w:t xml:space="preserve">  The primary safety analysis requires the full cohort </w:t>
      </w:r>
      <w:r w:rsidR="002F2936" w:rsidRPr="006145C7">
        <w:rPr>
          <w:rFonts w:ascii="Arial" w:hAnsi="Arial" w:cs="Arial"/>
          <w:sz w:val="24"/>
          <w:szCs w:val="24"/>
        </w:rPr>
        <w:t>however;</w:t>
      </w:r>
      <w:r w:rsidR="007E0E02" w:rsidRPr="006145C7">
        <w:rPr>
          <w:rFonts w:ascii="Arial" w:hAnsi="Arial" w:cs="Arial"/>
          <w:sz w:val="24"/>
          <w:szCs w:val="24"/>
        </w:rPr>
        <w:t xml:space="preserve"> safety information collected to date will also be presented. </w:t>
      </w:r>
    </w:p>
    <w:p w:rsidR="00894733" w:rsidRPr="006145C7" w:rsidRDefault="00894733" w:rsidP="0047708B">
      <w:pPr>
        <w:spacing w:line="480" w:lineRule="auto"/>
        <w:rPr>
          <w:rFonts w:ascii="Arial" w:hAnsi="Arial" w:cs="Arial"/>
          <w:b/>
          <w:sz w:val="24"/>
          <w:szCs w:val="24"/>
        </w:rPr>
      </w:pPr>
      <w:r w:rsidRPr="006145C7">
        <w:rPr>
          <w:rFonts w:ascii="Arial" w:hAnsi="Arial" w:cs="Arial"/>
          <w:b/>
          <w:sz w:val="24"/>
          <w:szCs w:val="24"/>
        </w:rPr>
        <w:t>Methods</w:t>
      </w:r>
    </w:p>
    <w:p w:rsidR="00894733" w:rsidRPr="006145C7" w:rsidRDefault="00894733" w:rsidP="0047708B">
      <w:pPr>
        <w:spacing w:line="480" w:lineRule="auto"/>
        <w:rPr>
          <w:rFonts w:ascii="Arial" w:hAnsi="Arial" w:cs="Arial"/>
          <w:sz w:val="24"/>
          <w:szCs w:val="24"/>
        </w:rPr>
      </w:pPr>
      <w:r w:rsidRPr="006145C7">
        <w:rPr>
          <w:rFonts w:ascii="Arial" w:hAnsi="Arial" w:cs="Arial"/>
          <w:sz w:val="24"/>
          <w:szCs w:val="24"/>
        </w:rPr>
        <w:t>Trial Design</w:t>
      </w:r>
    </w:p>
    <w:p w:rsidR="00894733" w:rsidRPr="006145C7" w:rsidRDefault="00894733" w:rsidP="0047708B">
      <w:pPr>
        <w:spacing w:line="480" w:lineRule="auto"/>
        <w:rPr>
          <w:rFonts w:ascii="Arial" w:hAnsi="Arial" w:cs="Arial"/>
          <w:sz w:val="24"/>
          <w:szCs w:val="24"/>
        </w:rPr>
      </w:pPr>
      <w:r w:rsidRPr="006145C7">
        <w:rPr>
          <w:rFonts w:ascii="Arial" w:hAnsi="Arial" w:cs="Arial"/>
          <w:sz w:val="24"/>
          <w:szCs w:val="24"/>
        </w:rPr>
        <w:tab/>
        <w:t>This was a multi-center</w:t>
      </w:r>
      <w:r w:rsidR="00FB0777" w:rsidRPr="006145C7">
        <w:rPr>
          <w:rFonts w:ascii="Arial" w:hAnsi="Arial" w:cs="Arial"/>
          <w:sz w:val="24"/>
          <w:szCs w:val="24"/>
        </w:rPr>
        <w:t>1-</w:t>
      </w:r>
      <w:r w:rsidR="00230726" w:rsidRPr="006145C7">
        <w:rPr>
          <w:rFonts w:ascii="Arial" w:hAnsi="Arial" w:cs="Arial"/>
          <w:sz w:val="24"/>
          <w:szCs w:val="24"/>
        </w:rPr>
        <w:t xml:space="preserve">year </w:t>
      </w:r>
      <w:r w:rsidRPr="006145C7">
        <w:rPr>
          <w:rFonts w:ascii="Arial" w:hAnsi="Arial" w:cs="Arial"/>
          <w:sz w:val="24"/>
          <w:szCs w:val="24"/>
        </w:rPr>
        <w:t>prospective</w:t>
      </w:r>
      <w:r w:rsidR="0047708B" w:rsidRPr="006145C7">
        <w:rPr>
          <w:rFonts w:ascii="Arial" w:hAnsi="Arial" w:cs="Arial"/>
          <w:sz w:val="24"/>
          <w:szCs w:val="24"/>
        </w:rPr>
        <w:t xml:space="preserve">, </w:t>
      </w:r>
      <w:r w:rsidRPr="006145C7">
        <w:rPr>
          <w:rFonts w:ascii="Arial" w:hAnsi="Arial" w:cs="Arial"/>
          <w:sz w:val="24"/>
          <w:szCs w:val="24"/>
        </w:rPr>
        <w:t xml:space="preserve">single arm, open label study to determine the </w:t>
      </w:r>
      <w:r w:rsidR="0047708B" w:rsidRPr="006145C7">
        <w:rPr>
          <w:rFonts w:ascii="Arial" w:hAnsi="Arial" w:cs="Arial"/>
          <w:sz w:val="24"/>
          <w:szCs w:val="24"/>
        </w:rPr>
        <w:t>continued system performance and safety in a commercial setting across 13 sites in the US</w:t>
      </w:r>
      <w:r w:rsidR="008B24E3" w:rsidRPr="006145C7">
        <w:rPr>
          <w:rFonts w:ascii="Arial" w:hAnsi="Arial" w:cs="Arial"/>
          <w:sz w:val="24"/>
          <w:szCs w:val="24"/>
        </w:rPr>
        <w:t xml:space="preserve"> with first patient enrollment in </w:t>
      </w:r>
      <w:r w:rsidR="00BE06F7" w:rsidRPr="006145C7">
        <w:rPr>
          <w:rFonts w:ascii="Arial" w:hAnsi="Arial" w:cs="Arial"/>
          <w:sz w:val="24"/>
          <w:szCs w:val="24"/>
        </w:rPr>
        <w:t>June</w:t>
      </w:r>
      <w:r w:rsidR="008B24E3" w:rsidRPr="006145C7">
        <w:rPr>
          <w:rFonts w:ascii="Arial" w:hAnsi="Arial" w:cs="Arial"/>
          <w:sz w:val="24"/>
          <w:szCs w:val="24"/>
        </w:rPr>
        <w:t xml:space="preserve"> 2018</w:t>
      </w:r>
      <w:r w:rsidR="0047708B" w:rsidRPr="006145C7">
        <w:rPr>
          <w:rFonts w:ascii="Arial" w:hAnsi="Arial" w:cs="Arial"/>
          <w:sz w:val="24"/>
          <w:szCs w:val="24"/>
        </w:rPr>
        <w:t>.  After becoming a commercial patient and passing all screening assessments, patients were enrolled in the</w:t>
      </w:r>
      <w:r w:rsidR="008B24E3" w:rsidRPr="006145C7">
        <w:rPr>
          <w:rFonts w:ascii="Arial" w:hAnsi="Arial" w:cs="Arial"/>
          <w:sz w:val="24"/>
          <w:szCs w:val="24"/>
        </w:rPr>
        <w:t xml:space="preserve"> post market approval</w:t>
      </w:r>
      <w:r w:rsidR="0047708B" w:rsidRPr="006145C7">
        <w:rPr>
          <w:rFonts w:ascii="Arial" w:hAnsi="Arial" w:cs="Arial"/>
          <w:sz w:val="24"/>
          <w:szCs w:val="24"/>
        </w:rPr>
        <w:t xml:space="preserve"> study. The study was approved by each individual study site institutional review board, and written informed consent was obtained from all </w:t>
      </w:r>
      <w:r w:rsidR="0047708B" w:rsidRPr="006145C7">
        <w:rPr>
          <w:rFonts w:ascii="Arial" w:hAnsi="Arial" w:cs="Arial"/>
          <w:sz w:val="24"/>
          <w:szCs w:val="24"/>
        </w:rPr>
        <w:lastRenderedPageBreak/>
        <w:t>participants in accordance with the guidelines from the Declaration of Helsinki.  The study as registered on clinicaltrials.gov (NCT03570034).</w:t>
      </w:r>
    </w:p>
    <w:p w:rsidR="0047708B" w:rsidRPr="006145C7" w:rsidRDefault="0047708B" w:rsidP="0047708B">
      <w:pPr>
        <w:spacing w:line="480" w:lineRule="auto"/>
        <w:rPr>
          <w:rFonts w:ascii="Arial" w:hAnsi="Arial" w:cs="Arial"/>
          <w:sz w:val="24"/>
          <w:szCs w:val="24"/>
        </w:rPr>
      </w:pPr>
      <w:r w:rsidRPr="006145C7">
        <w:rPr>
          <w:rFonts w:ascii="Arial" w:hAnsi="Arial" w:cs="Arial"/>
          <w:sz w:val="24"/>
          <w:szCs w:val="24"/>
        </w:rPr>
        <w:t>Participants</w:t>
      </w:r>
    </w:p>
    <w:p w:rsidR="000011E6" w:rsidRPr="006145C7" w:rsidRDefault="0047708B" w:rsidP="0047708B">
      <w:pPr>
        <w:spacing w:line="480" w:lineRule="auto"/>
        <w:rPr>
          <w:rFonts w:ascii="Arial" w:hAnsi="Arial" w:cs="Arial"/>
          <w:sz w:val="24"/>
          <w:szCs w:val="24"/>
        </w:rPr>
      </w:pPr>
      <w:r w:rsidRPr="006145C7">
        <w:rPr>
          <w:rFonts w:ascii="Arial" w:hAnsi="Arial" w:cs="Arial"/>
          <w:sz w:val="24"/>
          <w:szCs w:val="24"/>
        </w:rPr>
        <w:tab/>
        <w:t xml:space="preserve">Adults 22 years of age and older with a </w:t>
      </w:r>
      <w:r w:rsidR="00C8593A" w:rsidRPr="006145C7">
        <w:rPr>
          <w:rFonts w:ascii="Arial" w:hAnsi="Arial" w:cs="Arial"/>
          <w:sz w:val="24"/>
          <w:szCs w:val="24"/>
        </w:rPr>
        <w:t>Body Mass Index (</w:t>
      </w:r>
      <w:r w:rsidRPr="006145C7">
        <w:rPr>
          <w:rFonts w:ascii="Arial" w:hAnsi="Arial" w:cs="Arial"/>
          <w:sz w:val="24"/>
          <w:szCs w:val="24"/>
        </w:rPr>
        <w:t>BMI</w:t>
      </w:r>
      <w:r w:rsidR="00C8593A" w:rsidRPr="006145C7">
        <w:rPr>
          <w:rFonts w:ascii="Arial" w:hAnsi="Arial" w:cs="Arial"/>
          <w:sz w:val="24"/>
          <w:szCs w:val="24"/>
        </w:rPr>
        <w:t>)</w:t>
      </w:r>
      <w:r w:rsidRPr="006145C7">
        <w:rPr>
          <w:rFonts w:ascii="Arial" w:hAnsi="Arial" w:cs="Arial"/>
          <w:sz w:val="24"/>
          <w:szCs w:val="24"/>
        </w:rPr>
        <w:t xml:space="preserve"> of 30-40 kg/m</w:t>
      </w:r>
      <w:r w:rsidRPr="006145C7">
        <w:rPr>
          <w:rFonts w:ascii="Arial" w:hAnsi="Arial" w:cs="Arial"/>
          <w:sz w:val="24"/>
          <w:szCs w:val="24"/>
          <w:vertAlign w:val="superscript"/>
        </w:rPr>
        <w:t>2</w:t>
      </w:r>
      <w:r w:rsidRPr="006145C7">
        <w:rPr>
          <w:rFonts w:ascii="Arial" w:hAnsi="Arial" w:cs="Arial"/>
          <w:sz w:val="24"/>
          <w:szCs w:val="24"/>
        </w:rPr>
        <w:t xml:space="preserve"> who have previously attempted weight loss using medically supervised or non-medically supervised programs</w:t>
      </w:r>
      <w:r w:rsidR="008E62BE" w:rsidRPr="006145C7">
        <w:rPr>
          <w:rFonts w:ascii="Arial" w:hAnsi="Arial" w:cs="Arial"/>
          <w:sz w:val="24"/>
          <w:szCs w:val="24"/>
        </w:rPr>
        <w:t xml:space="preserve"> and willing to adhere to treatment guidelines in the </w:t>
      </w:r>
      <w:r w:rsidR="005910DE" w:rsidRPr="006145C7">
        <w:rPr>
          <w:rFonts w:ascii="Arial" w:hAnsi="Arial" w:cs="Arial"/>
          <w:sz w:val="24"/>
          <w:szCs w:val="24"/>
        </w:rPr>
        <w:t>instructions for use</w:t>
      </w:r>
      <w:r w:rsidR="0066364F" w:rsidRPr="0066364F">
        <w:rPr>
          <w:rFonts w:ascii="Arial" w:hAnsi="Arial" w:cs="Arial"/>
          <w:noProof/>
          <w:sz w:val="24"/>
          <w:szCs w:val="24"/>
          <w:vertAlign w:val="superscript"/>
        </w:rPr>
        <w:t>7</w:t>
      </w:r>
      <w:r w:rsidR="008E62BE" w:rsidRPr="006145C7">
        <w:rPr>
          <w:rFonts w:ascii="Arial" w:hAnsi="Arial" w:cs="Arial"/>
          <w:sz w:val="24"/>
          <w:szCs w:val="24"/>
        </w:rPr>
        <w:t>. Patients were recruited from clinical practices at each of the 13 study sites who intended to purchase the</w:t>
      </w:r>
      <w:r w:rsidR="00FF77FF" w:rsidRPr="006145C7">
        <w:rPr>
          <w:rFonts w:ascii="Arial" w:hAnsi="Arial" w:cs="Arial"/>
          <w:sz w:val="24"/>
          <w:szCs w:val="24"/>
        </w:rPr>
        <w:t xml:space="preserve"> SGIBS</w:t>
      </w:r>
      <w:r w:rsidR="00242442" w:rsidRPr="006145C7">
        <w:rPr>
          <w:rFonts w:ascii="Arial" w:hAnsi="Arial" w:cs="Arial"/>
          <w:sz w:val="24"/>
          <w:szCs w:val="24"/>
        </w:rPr>
        <w:t xml:space="preserve">. Inclusion and exclusion criteria were </w:t>
      </w:r>
      <w:r w:rsidR="002B4C67" w:rsidRPr="006145C7">
        <w:rPr>
          <w:rFonts w:ascii="Arial" w:hAnsi="Arial" w:cs="Arial"/>
          <w:sz w:val="24"/>
          <w:szCs w:val="24"/>
        </w:rPr>
        <w:t xml:space="preserve">determined during clinical evaluation </w:t>
      </w:r>
      <w:r w:rsidR="00F34690" w:rsidRPr="006145C7">
        <w:rPr>
          <w:rFonts w:ascii="Arial" w:hAnsi="Arial" w:cs="Arial"/>
          <w:sz w:val="24"/>
          <w:szCs w:val="24"/>
        </w:rPr>
        <w:t xml:space="preserve">prior to scheduling the first balloon administration </w:t>
      </w:r>
      <w:r w:rsidR="002B4C67" w:rsidRPr="006145C7">
        <w:rPr>
          <w:rFonts w:ascii="Arial" w:hAnsi="Arial" w:cs="Arial"/>
          <w:sz w:val="24"/>
          <w:szCs w:val="24"/>
        </w:rPr>
        <w:t>as part of standard of care.</w:t>
      </w:r>
      <w:r w:rsidR="008E62BE" w:rsidRPr="006145C7">
        <w:rPr>
          <w:rFonts w:ascii="Arial" w:hAnsi="Arial" w:cs="Arial"/>
          <w:sz w:val="24"/>
          <w:szCs w:val="24"/>
        </w:rPr>
        <w:t xml:space="preserve"> Key exclusion criteria included: contraindication for use of the</w:t>
      </w:r>
      <w:r w:rsidR="00420FB1" w:rsidRPr="006145C7">
        <w:rPr>
          <w:rFonts w:ascii="Arial" w:hAnsi="Arial" w:cs="Arial"/>
          <w:sz w:val="24"/>
          <w:szCs w:val="24"/>
        </w:rPr>
        <w:t xml:space="preserve"> SGIBS </w:t>
      </w:r>
      <w:r w:rsidR="00C76E5F" w:rsidRPr="006145C7">
        <w:rPr>
          <w:rFonts w:ascii="Arial" w:hAnsi="Arial" w:cs="Arial"/>
          <w:sz w:val="24"/>
          <w:szCs w:val="24"/>
        </w:rPr>
        <w:t>per</w:t>
      </w:r>
      <w:r w:rsidR="00420FB1" w:rsidRPr="006145C7">
        <w:rPr>
          <w:rFonts w:ascii="Arial" w:hAnsi="Arial" w:cs="Arial"/>
          <w:sz w:val="24"/>
          <w:szCs w:val="24"/>
        </w:rPr>
        <w:t xml:space="preserve"> the instructions for use</w:t>
      </w:r>
      <w:r w:rsidR="00C76E5F" w:rsidRPr="006145C7">
        <w:rPr>
          <w:rFonts w:ascii="Arial" w:hAnsi="Arial" w:cs="Arial"/>
          <w:sz w:val="24"/>
          <w:szCs w:val="24"/>
        </w:rPr>
        <w:t>, use of medications or medical devices known to induce weight gain or weight loss within the preceding 6 months, known history of endocrine disorder affecting weight, participation in any clinical study which could affect weight loss within the past year, known history or present condition of structural or functi</w:t>
      </w:r>
      <w:r w:rsidR="000011E6" w:rsidRPr="006145C7">
        <w:rPr>
          <w:rFonts w:ascii="Arial" w:hAnsi="Arial" w:cs="Arial"/>
          <w:sz w:val="24"/>
          <w:szCs w:val="24"/>
        </w:rPr>
        <w:t xml:space="preserve">onal disorders of the esophagus, life expectancy less than 1 year, or severe medical condition in the opinion of the investigator. </w:t>
      </w:r>
      <w:r w:rsidR="00F34690" w:rsidRPr="006145C7">
        <w:rPr>
          <w:rFonts w:ascii="Arial" w:hAnsi="Arial" w:cs="Arial"/>
          <w:sz w:val="24"/>
          <w:szCs w:val="24"/>
        </w:rPr>
        <w:t xml:space="preserve">Only patients who had </w:t>
      </w:r>
      <w:r w:rsidR="006941BE" w:rsidRPr="006145C7">
        <w:rPr>
          <w:rFonts w:ascii="Arial" w:hAnsi="Arial" w:cs="Arial"/>
          <w:sz w:val="24"/>
          <w:szCs w:val="24"/>
        </w:rPr>
        <w:t>completed all pre-balloon administration clinical standard of care evaluations and had presented for first balloon administration were enrolled in the study.</w:t>
      </w:r>
    </w:p>
    <w:p w:rsidR="0047708B" w:rsidRPr="006145C7" w:rsidRDefault="00574A0A" w:rsidP="0047708B">
      <w:pPr>
        <w:spacing w:line="480" w:lineRule="auto"/>
        <w:rPr>
          <w:rFonts w:ascii="Arial" w:hAnsi="Arial" w:cs="Arial"/>
          <w:sz w:val="24"/>
          <w:szCs w:val="24"/>
        </w:rPr>
      </w:pPr>
      <w:r w:rsidRPr="006145C7">
        <w:rPr>
          <w:rFonts w:ascii="Arial" w:hAnsi="Arial" w:cs="Arial"/>
          <w:sz w:val="24"/>
          <w:szCs w:val="24"/>
        </w:rPr>
        <w:t xml:space="preserve">Study Activities </w:t>
      </w:r>
      <w:r w:rsidR="00FF77FF" w:rsidRPr="006145C7">
        <w:rPr>
          <w:rFonts w:ascii="Arial" w:hAnsi="Arial" w:cs="Arial"/>
          <w:sz w:val="24"/>
          <w:szCs w:val="24"/>
        </w:rPr>
        <w:t>Follow-Up Care</w:t>
      </w:r>
      <w:r w:rsidR="000461E5" w:rsidRPr="006145C7">
        <w:rPr>
          <w:rFonts w:ascii="Arial" w:hAnsi="Arial" w:cs="Arial"/>
          <w:sz w:val="24"/>
          <w:szCs w:val="24"/>
        </w:rPr>
        <w:t xml:space="preserve"> and Questionnaires</w:t>
      </w:r>
    </w:p>
    <w:p w:rsidR="00FF77FF" w:rsidRPr="006145C7" w:rsidRDefault="00FF77FF" w:rsidP="0047708B">
      <w:pPr>
        <w:spacing w:line="480" w:lineRule="auto"/>
        <w:rPr>
          <w:rFonts w:ascii="Arial" w:hAnsi="Arial" w:cs="Arial"/>
          <w:sz w:val="24"/>
          <w:szCs w:val="24"/>
        </w:rPr>
      </w:pPr>
      <w:r w:rsidRPr="006145C7">
        <w:rPr>
          <w:rFonts w:ascii="Arial" w:hAnsi="Arial" w:cs="Arial"/>
          <w:sz w:val="24"/>
          <w:szCs w:val="24"/>
        </w:rPr>
        <w:tab/>
        <w:t>All activities related to the administration, management, and removal of the SGIBS</w:t>
      </w:r>
      <w:r w:rsidR="00420FB1" w:rsidRPr="006145C7">
        <w:rPr>
          <w:rFonts w:ascii="Arial" w:hAnsi="Arial" w:cs="Arial"/>
          <w:sz w:val="24"/>
          <w:szCs w:val="24"/>
        </w:rPr>
        <w:t xml:space="preserve"> were conducted in accordance with the device</w:t>
      </w:r>
      <w:r w:rsidR="00C65736" w:rsidRPr="006145C7">
        <w:rPr>
          <w:rFonts w:ascii="Arial" w:hAnsi="Arial" w:cs="Arial"/>
          <w:sz w:val="24"/>
          <w:szCs w:val="24"/>
        </w:rPr>
        <w:t xml:space="preserve"> labeling</w:t>
      </w:r>
      <w:r w:rsidR="00420FB1" w:rsidRPr="006145C7">
        <w:rPr>
          <w:rFonts w:ascii="Arial" w:hAnsi="Arial" w:cs="Arial"/>
          <w:sz w:val="24"/>
          <w:szCs w:val="24"/>
        </w:rPr>
        <w:t>.  In addition, each patient had</w:t>
      </w:r>
      <w:r w:rsidR="002F2936">
        <w:rPr>
          <w:rFonts w:ascii="Arial" w:hAnsi="Arial" w:cs="Arial"/>
          <w:sz w:val="24"/>
          <w:szCs w:val="24"/>
        </w:rPr>
        <w:t xml:space="preserve"> access to both</w:t>
      </w:r>
      <w:r w:rsidR="00420FB1" w:rsidRPr="006145C7">
        <w:rPr>
          <w:rFonts w:ascii="Arial" w:hAnsi="Arial" w:cs="Arial"/>
          <w:sz w:val="24"/>
          <w:szCs w:val="24"/>
        </w:rPr>
        <w:t xml:space="preserve"> individualized</w:t>
      </w:r>
      <w:r w:rsidR="007964FD">
        <w:rPr>
          <w:rFonts w:ascii="Arial" w:hAnsi="Arial" w:cs="Arial"/>
          <w:sz w:val="24"/>
          <w:szCs w:val="24"/>
        </w:rPr>
        <w:t xml:space="preserve"> lifestyle therapy</w:t>
      </w:r>
      <w:r w:rsidR="00420FB1" w:rsidRPr="006145C7">
        <w:rPr>
          <w:rFonts w:ascii="Arial" w:hAnsi="Arial" w:cs="Arial"/>
          <w:sz w:val="24"/>
          <w:szCs w:val="24"/>
        </w:rPr>
        <w:t xml:space="preserve"> sessions </w:t>
      </w:r>
      <w:r w:rsidR="002F2936">
        <w:rPr>
          <w:rFonts w:ascii="Arial" w:hAnsi="Arial" w:cs="Arial"/>
          <w:sz w:val="24"/>
          <w:szCs w:val="24"/>
        </w:rPr>
        <w:t xml:space="preserve">and group </w:t>
      </w:r>
      <w:r w:rsidR="007964FD">
        <w:rPr>
          <w:rFonts w:ascii="Arial" w:hAnsi="Arial" w:cs="Arial"/>
          <w:sz w:val="24"/>
          <w:szCs w:val="24"/>
        </w:rPr>
        <w:t xml:space="preserve">lifestyle </w:t>
      </w:r>
      <w:r w:rsidR="007964FD">
        <w:rPr>
          <w:rFonts w:ascii="Arial" w:hAnsi="Arial" w:cs="Arial"/>
          <w:sz w:val="24"/>
          <w:szCs w:val="24"/>
        </w:rPr>
        <w:lastRenderedPageBreak/>
        <w:t>therapy</w:t>
      </w:r>
      <w:r w:rsidR="002F2936">
        <w:rPr>
          <w:rFonts w:ascii="Arial" w:hAnsi="Arial" w:cs="Arial"/>
          <w:sz w:val="24"/>
          <w:szCs w:val="24"/>
        </w:rPr>
        <w:t xml:space="preserve">session </w:t>
      </w:r>
      <w:r w:rsidR="00420FB1" w:rsidRPr="006145C7">
        <w:rPr>
          <w:rFonts w:ascii="Arial" w:hAnsi="Arial" w:cs="Arial"/>
          <w:sz w:val="24"/>
          <w:szCs w:val="24"/>
        </w:rPr>
        <w:t>conducted by a healthcare practitioner with tr</w:t>
      </w:r>
      <w:r w:rsidR="00BC49E4">
        <w:rPr>
          <w:rFonts w:ascii="Arial" w:hAnsi="Arial" w:cs="Arial"/>
          <w:sz w:val="24"/>
          <w:szCs w:val="24"/>
        </w:rPr>
        <w:t>aining in nutritional counseling and lifestyle therapy</w:t>
      </w:r>
      <w:r w:rsidR="002F2936">
        <w:rPr>
          <w:rFonts w:ascii="Arial" w:hAnsi="Arial" w:cs="Arial"/>
          <w:sz w:val="24"/>
          <w:szCs w:val="24"/>
        </w:rPr>
        <w:t xml:space="preserve"> each month</w:t>
      </w:r>
      <w:r w:rsidR="00BC49E4">
        <w:rPr>
          <w:rFonts w:ascii="Arial" w:hAnsi="Arial" w:cs="Arial"/>
          <w:sz w:val="24"/>
          <w:szCs w:val="24"/>
        </w:rPr>
        <w:t>.</w:t>
      </w:r>
      <w:r w:rsidR="00420FB1" w:rsidRPr="006145C7">
        <w:rPr>
          <w:rFonts w:ascii="Arial" w:hAnsi="Arial" w:cs="Arial"/>
          <w:sz w:val="24"/>
          <w:szCs w:val="24"/>
        </w:rPr>
        <w:t xml:space="preserve">  All patients were prescribed proton pump inhibitors as outlined in the instructions for use.  </w:t>
      </w:r>
      <w:r w:rsidR="00DB6AC4" w:rsidRPr="006145C7">
        <w:rPr>
          <w:rFonts w:ascii="Arial" w:hAnsi="Arial" w:cs="Arial"/>
          <w:sz w:val="24"/>
          <w:szCs w:val="24"/>
        </w:rPr>
        <w:t xml:space="preserve">Questionnaires including </w:t>
      </w:r>
      <w:r w:rsidR="000461E5" w:rsidRPr="006145C7">
        <w:rPr>
          <w:rFonts w:ascii="Arial" w:hAnsi="Arial" w:cs="Arial"/>
          <w:sz w:val="24"/>
          <w:szCs w:val="24"/>
        </w:rPr>
        <w:t>the RAND SF-36</w:t>
      </w:r>
      <w:r w:rsidR="0066364F" w:rsidRPr="0066364F">
        <w:rPr>
          <w:rFonts w:ascii="Arial" w:hAnsi="Arial" w:cs="Arial"/>
          <w:noProof/>
          <w:sz w:val="24"/>
          <w:szCs w:val="24"/>
          <w:vertAlign w:val="superscript"/>
        </w:rPr>
        <w:t>8</w:t>
      </w:r>
      <w:r w:rsidR="000461E5" w:rsidRPr="006145C7">
        <w:rPr>
          <w:rFonts w:ascii="Arial" w:hAnsi="Arial" w:cs="Arial"/>
          <w:sz w:val="24"/>
          <w:szCs w:val="24"/>
        </w:rPr>
        <w:t xml:space="preserve"> and the Influence of Weight on Quality of Life-Lite</w:t>
      </w:r>
      <w:r w:rsidR="0066364F" w:rsidRPr="0066364F">
        <w:rPr>
          <w:rFonts w:ascii="Arial" w:hAnsi="Arial" w:cs="Arial"/>
          <w:noProof/>
          <w:sz w:val="24"/>
          <w:szCs w:val="24"/>
          <w:vertAlign w:val="superscript"/>
        </w:rPr>
        <w:t>9</w:t>
      </w:r>
      <w:r w:rsidR="00DB6AC4" w:rsidRPr="006145C7">
        <w:rPr>
          <w:rFonts w:ascii="Arial" w:hAnsi="Arial" w:cs="Arial"/>
          <w:sz w:val="24"/>
          <w:szCs w:val="24"/>
        </w:rPr>
        <w:t>, were administered at baseline</w:t>
      </w:r>
      <w:r w:rsidR="005F7496" w:rsidRPr="006145C7">
        <w:rPr>
          <w:rFonts w:ascii="Arial" w:hAnsi="Arial" w:cs="Arial"/>
          <w:sz w:val="24"/>
          <w:szCs w:val="24"/>
        </w:rPr>
        <w:t xml:space="preserve">, </w:t>
      </w:r>
      <w:r w:rsidR="004945F0" w:rsidRPr="006145C7">
        <w:rPr>
          <w:rFonts w:ascii="Arial" w:hAnsi="Arial" w:cs="Arial"/>
          <w:sz w:val="24"/>
          <w:szCs w:val="24"/>
        </w:rPr>
        <w:t>6-month (removal)</w:t>
      </w:r>
      <w:r w:rsidR="005F7496" w:rsidRPr="006145C7">
        <w:rPr>
          <w:rFonts w:ascii="Arial" w:hAnsi="Arial" w:cs="Arial"/>
          <w:sz w:val="24"/>
          <w:szCs w:val="24"/>
        </w:rPr>
        <w:t xml:space="preserve"> and </w:t>
      </w:r>
      <w:r w:rsidR="004945F0" w:rsidRPr="006145C7">
        <w:rPr>
          <w:rFonts w:ascii="Arial" w:hAnsi="Arial" w:cs="Arial"/>
          <w:sz w:val="24"/>
          <w:szCs w:val="24"/>
        </w:rPr>
        <w:t>one-year</w:t>
      </w:r>
      <w:r w:rsidR="00DB6AC4" w:rsidRPr="006145C7">
        <w:rPr>
          <w:rFonts w:ascii="Arial" w:hAnsi="Arial" w:cs="Arial"/>
          <w:sz w:val="24"/>
          <w:szCs w:val="24"/>
        </w:rPr>
        <w:t xml:space="preserve"> to evaluate components of quality of life wit</w:t>
      </w:r>
      <w:r w:rsidR="00B61738" w:rsidRPr="006145C7">
        <w:rPr>
          <w:rFonts w:ascii="Arial" w:hAnsi="Arial" w:cs="Arial"/>
          <w:sz w:val="24"/>
          <w:szCs w:val="24"/>
        </w:rPr>
        <w:t>h SGIBS treatment.  The Rhodes I</w:t>
      </w:r>
      <w:r w:rsidR="00DB6AC4" w:rsidRPr="006145C7">
        <w:rPr>
          <w:rFonts w:ascii="Arial" w:hAnsi="Arial" w:cs="Arial"/>
          <w:sz w:val="24"/>
          <w:szCs w:val="24"/>
        </w:rPr>
        <w:t xml:space="preserve">ndex for </w:t>
      </w:r>
      <w:r w:rsidR="00ED1BE2" w:rsidRPr="006145C7">
        <w:rPr>
          <w:rFonts w:ascii="Arial" w:hAnsi="Arial" w:cs="Arial"/>
          <w:sz w:val="24"/>
          <w:szCs w:val="24"/>
        </w:rPr>
        <w:t>Nausea</w:t>
      </w:r>
      <w:r w:rsidR="00DB6AC4" w:rsidRPr="006145C7">
        <w:rPr>
          <w:rFonts w:ascii="Arial" w:hAnsi="Arial" w:cs="Arial"/>
          <w:sz w:val="24"/>
          <w:szCs w:val="24"/>
        </w:rPr>
        <w:t>, Vomiting, and Retching</w:t>
      </w:r>
      <w:r w:rsidR="0066364F" w:rsidRPr="0066364F">
        <w:rPr>
          <w:rFonts w:ascii="Arial" w:hAnsi="Arial" w:cs="Arial"/>
          <w:noProof/>
          <w:sz w:val="24"/>
          <w:szCs w:val="24"/>
          <w:vertAlign w:val="superscript"/>
        </w:rPr>
        <w:t>10</w:t>
      </w:r>
      <w:r w:rsidR="00DB6AC4" w:rsidRPr="006145C7">
        <w:rPr>
          <w:rFonts w:ascii="Arial" w:hAnsi="Arial" w:cs="Arial"/>
          <w:sz w:val="24"/>
          <w:szCs w:val="24"/>
        </w:rPr>
        <w:t xml:space="preserve"> was collected at day 1 and day 7 after each balloon administration and at the onset of new nausea</w:t>
      </w:r>
      <w:r w:rsidR="004945F0" w:rsidRPr="006145C7">
        <w:rPr>
          <w:rFonts w:ascii="Arial" w:hAnsi="Arial" w:cs="Arial"/>
          <w:sz w:val="24"/>
          <w:szCs w:val="24"/>
        </w:rPr>
        <w:t>,</w:t>
      </w:r>
      <w:r w:rsidR="0010636A">
        <w:rPr>
          <w:rFonts w:ascii="Arial" w:hAnsi="Arial" w:cs="Arial"/>
          <w:sz w:val="24"/>
          <w:szCs w:val="24"/>
        </w:rPr>
        <w:t xml:space="preserve"> </w:t>
      </w:r>
      <w:r w:rsidR="00DB6AC4" w:rsidRPr="006145C7">
        <w:rPr>
          <w:rFonts w:ascii="Arial" w:hAnsi="Arial" w:cs="Arial"/>
          <w:sz w:val="24"/>
          <w:szCs w:val="24"/>
        </w:rPr>
        <w:t>vomiting</w:t>
      </w:r>
      <w:r w:rsidR="004945F0" w:rsidRPr="006145C7">
        <w:rPr>
          <w:rFonts w:ascii="Arial" w:hAnsi="Arial" w:cs="Arial"/>
          <w:sz w:val="24"/>
          <w:szCs w:val="24"/>
        </w:rPr>
        <w:t>, or retching</w:t>
      </w:r>
      <w:r w:rsidR="00DB6AC4" w:rsidRPr="006145C7">
        <w:rPr>
          <w:rFonts w:ascii="Arial" w:hAnsi="Arial" w:cs="Arial"/>
          <w:sz w:val="24"/>
          <w:szCs w:val="24"/>
        </w:rPr>
        <w:t>.</w:t>
      </w:r>
    </w:p>
    <w:p w:rsidR="00420FB1" w:rsidRPr="006145C7" w:rsidRDefault="00420FB1" w:rsidP="0047708B">
      <w:pPr>
        <w:spacing w:line="480" w:lineRule="auto"/>
        <w:rPr>
          <w:rFonts w:ascii="Arial" w:hAnsi="Arial" w:cs="Arial"/>
          <w:sz w:val="24"/>
          <w:szCs w:val="24"/>
        </w:rPr>
      </w:pPr>
      <w:r w:rsidRPr="006145C7">
        <w:rPr>
          <w:rFonts w:ascii="Arial" w:hAnsi="Arial" w:cs="Arial"/>
          <w:sz w:val="24"/>
          <w:szCs w:val="24"/>
        </w:rPr>
        <w:t>Outcomes</w:t>
      </w:r>
    </w:p>
    <w:p w:rsidR="00601B50" w:rsidRPr="006145C7" w:rsidRDefault="00420FB1" w:rsidP="0047708B">
      <w:pPr>
        <w:spacing w:line="480" w:lineRule="auto"/>
        <w:rPr>
          <w:rFonts w:ascii="Arial" w:hAnsi="Arial" w:cs="Arial"/>
          <w:sz w:val="24"/>
          <w:szCs w:val="24"/>
        </w:rPr>
      </w:pPr>
      <w:r w:rsidRPr="006145C7">
        <w:rPr>
          <w:rFonts w:ascii="Arial" w:hAnsi="Arial" w:cs="Arial"/>
          <w:sz w:val="24"/>
          <w:szCs w:val="24"/>
        </w:rPr>
        <w:tab/>
      </w:r>
      <w:r w:rsidR="003E7C01" w:rsidRPr="006145C7">
        <w:rPr>
          <w:rFonts w:ascii="Arial" w:hAnsi="Arial" w:cs="Arial"/>
          <w:sz w:val="24"/>
          <w:szCs w:val="24"/>
        </w:rPr>
        <w:t>The</w:t>
      </w:r>
      <w:r w:rsidR="00A836E7" w:rsidRPr="006145C7">
        <w:rPr>
          <w:rFonts w:ascii="Arial" w:hAnsi="Arial" w:cs="Arial"/>
          <w:sz w:val="24"/>
          <w:szCs w:val="24"/>
        </w:rPr>
        <w:t xml:space="preserve"> co-primary </w:t>
      </w:r>
      <w:r w:rsidR="004945F0" w:rsidRPr="006145C7">
        <w:rPr>
          <w:rFonts w:ascii="Arial" w:hAnsi="Arial" w:cs="Arial"/>
          <w:sz w:val="24"/>
          <w:szCs w:val="24"/>
        </w:rPr>
        <w:t xml:space="preserve">effectiveness </w:t>
      </w:r>
      <w:r w:rsidR="00A836E7" w:rsidRPr="006145C7">
        <w:rPr>
          <w:rFonts w:ascii="Arial" w:hAnsi="Arial" w:cs="Arial"/>
          <w:sz w:val="24"/>
          <w:szCs w:val="24"/>
        </w:rPr>
        <w:t xml:space="preserve">endpoints for </w:t>
      </w:r>
      <w:r w:rsidR="003E7C01" w:rsidRPr="006145C7">
        <w:rPr>
          <w:rFonts w:ascii="Arial" w:hAnsi="Arial" w:cs="Arial"/>
          <w:sz w:val="24"/>
          <w:szCs w:val="24"/>
        </w:rPr>
        <w:t>evaluation</w:t>
      </w:r>
      <w:r w:rsidR="00A836E7" w:rsidRPr="006145C7">
        <w:rPr>
          <w:rFonts w:ascii="Arial" w:hAnsi="Arial" w:cs="Arial"/>
          <w:sz w:val="24"/>
          <w:szCs w:val="24"/>
        </w:rPr>
        <w:t xml:space="preserve"> in this manuscript</w:t>
      </w:r>
      <w:r w:rsidR="003E7C01" w:rsidRPr="006145C7">
        <w:rPr>
          <w:rFonts w:ascii="Arial" w:hAnsi="Arial" w:cs="Arial"/>
          <w:sz w:val="24"/>
          <w:szCs w:val="24"/>
        </w:rPr>
        <w:t xml:space="preserve"> are 1) percent total body wei</w:t>
      </w:r>
      <w:r w:rsidR="00F34690" w:rsidRPr="006145C7">
        <w:rPr>
          <w:rFonts w:ascii="Arial" w:hAnsi="Arial" w:cs="Arial"/>
          <w:sz w:val="24"/>
          <w:szCs w:val="24"/>
        </w:rPr>
        <w:t xml:space="preserve">ght loss (%TBWL) at </w:t>
      </w:r>
      <w:r w:rsidR="004945F0" w:rsidRPr="006145C7">
        <w:rPr>
          <w:rFonts w:ascii="Arial" w:hAnsi="Arial" w:cs="Arial"/>
          <w:sz w:val="24"/>
          <w:szCs w:val="24"/>
        </w:rPr>
        <w:t>balloon removal</w:t>
      </w:r>
      <w:r w:rsidR="00F34690" w:rsidRPr="006145C7">
        <w:rPr>
          <w:rFonts w:ascii="Arial" w:hAnsi="Arial" w:cs="Arial"/>
          <w:sz w:val="24"/>
          <w:szCs w:val="24"/>
        </w:rPr>
        <w:t xml:space="preserve"> a</w:t>
      </w:r>
      <w:r w:rsidR="00084DF0" w:rsidRPr="006145C7">
        <w:rPr>
          <w:rFonts w:ascii="Arial" w:hAnsi="Arial" w:cs="Arial"/>
          <w:sz w:val="24"/>
          <w:szCs w:val="24"/>
        </w:rPr>
        <w:t>nd</w:t>
      </w:r>
      <w:r w:rsidR="003E7C01" w:rsidRPr="006145C7">
        <w:rPr>
          <w:rFonts w:ascii="Arial" w:hAnsi="Arial" w:cs="Arial"/>
          <w:sz w:val="24"/>
          <w:szCs w:val="24"/>
        </w:rPr>
        <w:t xml:space="preserve"> 2)</w:t>
      </w:r>
      <w:r w:rsidR="00C11AFB">
        <w:rPr>
          <w:rFonts w:ascii="Arial" w:hAnsi="Arial" w:cs="Arial"/>
          <w:sz w:val="24"/>
          <w:szCs w:val="24"/>
        </w:rPr>
        <w:t xml:space="preserve"> predictors of weight loss at balloon removal. </w:t>
      </w:r>
      <w:r w:rsidR="00F27D9B" w:rsidRPr="006145C7">
        <w:rPr>
          <w:rFonts w:ascii="Arial" w:hAnsi="Arial" w:cs="Arial"/>
          <w:sz w:val="24"/>
          <w:szCs w:val="24"/>
        </w:rPr>
        <w:t>Secondary endpoints include</w:t>
      </w:r>
      <w:r w:rsidR="00BC49E4">
        <w:rPr>
          <w:rFonts w:ascii="Arial" w:hAnsi="Arial" w:cs="Arial"/>
          <w:sz w:val="24"/>
          <w:szCs w:val="24"/>
        </w:rPr>
        <w:t xml:space="preserve">: </w:t>
      </w:r>
      <w:r w:rsidR="00BC49E4" w:rsidRPr="006145C7">
        <w:rPr>
          <w:rFonts w:ascii="Arial" w:hAnsi="Arial" w:cs="Arial"/>
          <w:sz w:val="24"/>
          <w:szCs w:val="24"/>
        </w:rPr>
        <w:t>%TBWL at one-year</w:t>
      </w:r>
      <w:r w:rsidR="00BC49E4">
        <w:rPr>
          <w:rFonts w:ascii="Arial" w:hAnsi="Arial" w:cs="Arial"/>
          <w:sz w:val="24"/>
          <w:szCs w:val="24"/>
        </w:rPr>
        <w:t xml:space="preserve">, </w:t>
      </w:r>
      <w:r w:rsidR="00F27D9B" w:rsidRPr="006145C7">
        <w:rPr>
          <w:rFonts w:ascii="Arial" w:hAnsi="Arial" w:cs="Arial"/>
          <w:sz w:val="24"/>
          <w:szCs w:val="24"/>
        </w:rPr>
        <w:t xml:space="preserve"> 5%TBWL Responder Rate defined as the percentage of patients who achieved ≥5% TBWL at </w:t>
      </w:r>
      <w:r w:rsidR="004945F0" w:rsidRPr="006145C7">
        <w:rPr>
          <w:rFonts w:ascii="Arial" w:hAnsi="Arial" w:cs="Arial"/>
          <w:sz w:val="24"/>
          <w:szCs w:val="24"/>
        </w:rPr>
        <w:t>removal</w:t>
      </w:r>
      <w:r w:rsidR="00F27D9B" w:rsidRPr="006145C7">
        <w:rPr>
          <w:rFonts w:ascii="Arial" w:hAnsi="Arial" w:cs="Arial"/>
          <w:sz w:val="24"/>
          <w:szCs w:val="24"/>
        </w:rPr>
        <w:t xml:space="preserve"> and the 10% TBWL Responder Rate defined as the percentage of patients</w:t>
      </w:r>
      <w:r w:rsidR="00F41464" w:rsidRPr="006145C7">
        <w:rPr>
          <w:rFonts w:ascii="Arial" w:hAnsi="Arial" w:cs="Arial"/>
          <w:sz w:val="24"/>
          <w:szCs w:val="24"/>
        </w:rPr>
        <w:t xml:space="preserve"> who achieved  ≥</w:t>
      </w:r>
      <w:r w:rsidR="00230726" w:rsidRPr="006145C7">
        <w:rPr>
          <w:rFonts w:ascii="Arial" w:hAnsi="Arial" w:cs="Arial"/>
          <w:sz w:val="24"/>
          <w:szCs w:val="24"/>
        </w:rPr>
        <w:t xml:space="preserve">10% TBWL at </w:t>
      </w:r>
      <w:r w:rsidR="004945F0" w:rsidRPr="006145C7">
        <w:rPr>
          <w:rFonts w:ascii="Arial" w:hAnsi="Arial" w:cs="Arial"/>
          <w:sz w:val="24"/>
          <w:szCs w:val="24"/>
        </w:rPr>
        <w:t xml:space="preserve">removal </w:t>
      </w:r>
      <w:r w:rsidR="0021232B" w:rsidRPr="006145C7">
        <w:rPr>
          <w:rFonts w:ascii="Arial" w:hAnsi="Arial" w:cs="Arial"/>
          <w:sz w:val="24"/>
          <w:szCs w:val="24"/>
        </w:rPr>
        <w:t>as well as the safety analysis</w:t>
      </w:r>
      <w:r w:rsidR="00F27D9B" w:rsidRPr="006145C7">
        <w:rPr>
          <w:rFonts w:ascii="Arial" w:hAnsi="Arial" w:cs="Arial"/>
          <w:sz w:val="24"/>
          <w:szCs w:val="24"/>
        </w:rPr>
        <w:t xml:space="preserve">.  </w:t>
      </w:r>
      <w:r w:rsidR="00601B50" w:rsidRPr="006145C7">
        <w:rPr>
          <w:rFonts w:ascii="Arial" w:hAnsi="Arial" w:cs="Arial"/>
          <w:sz w:val="24"/>
          <w:szCs w:val="24"/>
        </w:rPr>
        <w:t xml:space="preserve">The </w:t>
      </w:r>
      <w:r w:rsidR="0076299A" w:rsidRPr="006145C7">
        <w:rPr>
          <w:rFonts w:ascii="Arial" w:hAnsi="Arial" w:cs="Arial"/>
          <w:sz w:val="24"/>
          <w:szCs w:val="24"/>
        </w:rPr>
        <w:t xml:space="preserve">weight loss effectiveness </w:t>
      </w:r>
      <w:r w:rsidR="00601B50" w:rsidRPr="006145C7">
        <w:rPr>
          <w:rFonts w:ascii="Arial" w:hAnsi="Arial" w:cs="Arial"/>
          <w:sz w:val="24"/>
          <w:szCs w:val="24"/>
        </w:rPr>
        <w:t>metrics for this manuscript include</w:t>
      </w:r>
      <w:r w:rsidR="0076299A" w:rsidRPr="006145C7">
        <w:rPr>
          <w:rFonts w:ascii="Arial" w:hAnsi="Arial" w:cs="Arial"/>
          <w:sz w:val="24"/>
          <w:szCs w:val="24"/>
        </w:rPr>
        <w:t xml:space="preserve"> the following populations</w:t>
      </w:r>
      <w:r w:rsidR="00601B50" w:rsidRPr="006145C7">
        <w:rPr>
          <w:rFonts w:ascii="Arial" w:hAnsi="Arial" w:cs="Arial"/>
          <w:sz w:val="24"/>
          <w:szCs w:val="24"/>
        </w:rPr>
        <w:t>:</w:t>
      </w:r>
    </w:p>
    <w:p w:rsidR="003E7C01" w:rsidRPr="006145C7" w:rsidRDefault="00601B50" w:rsidP="00601B50">
      <w:pPr>
        <w:pStyle w:val="ListParagraph"/>
        <w:numPr>
          <w:ilvl w:val="0"/>
          <w:numId w:val="1"/>
        </w:numPr>
        <w:spacing w:line="480" w:lineRule="auto"/>
        <w:rPr>
          <w:rFonts w:ascii="Arial" w:hAnsi="Arial" w:cs="Arial"/>
          <w:sz w:val="24"/>
          <w:szCs w:val="24"/>
        </w:rPr>
      </w:pPr>
      <w:r w:rsidRPr="006145C7">
        <w:rPr>
          <w:rFonts w:ascii="Arial" w:hAnsi="Arial" w:cs="Arial"/>
          <w:sz w:val="24"/>
          <w:szCs w:val="24"/>
        </w:rPr>
        <w:t>The modified intention to treat analysis (mITT) cohort includes all subjects who received at least one properly inflated balloon for any duration of time</w:t>
      </w:r>
    </w:p>
    <w:p w:rsidR="00601B50" w:rsidRPr="006145C7" w:rsidRDefault="0076299A" w:rsidP="00601B50">
      <w:pPr>
        <w:pStyle w:val="ListParagraph"/>
        <w:numPr>
          <w:ilvl w:val="0"/>
          <w:numId w:val="1"/>
        </w:numPr>
        <w:spacing w:line="480" w:lineRule="auto"/>
        <w:rPr>
          <w:rFonts w:ascii="Arial" w:hAnsi="Arial" w:cs="Arial"/>
          <w:sz w:val="24"/>
          <w:szCs w:val="24"/>
        </w:rPr>
      </w:pPr>
      <w:r w:rsidRPr="006145C7">
        <w:rPr>
          <w:rFonts w:ascii="Arial" w:hAnsi="Arial" w:cs="Arial"/>
          <w:sz w:val="24"/>
          <w:szCs w:val="24"/>
        </w:rPr>
        <w:t>The all balloon completer</w:t>
      </w:r>
      <w:r w:rsidR="005E0F91" w:rsidRPr="006145C7">
        <w:rPr>
          <w:rFonts w:ascii="Arial" w:hAnsi="Arial" w:cs="Arial"/>
          <w:sz w:val="24"/>
          <w:szCs w:val="24"/>
        </w:rPr>
        <w:t xml:space="preserve">analysis (Completer) </w:t>
      </w:r>
      <w:r w:rsidR="00601B50" w:rsidRPr="006145C7">
        <w:rPr>
          <w:rFonts w:ascii="Arial" w:hAnsi="Arial" w:cs="Arial"/>
          <w:sz w:val="24"/>
          <w:szCs w:val="24"/>
        </w:rPr>
        <w:t xml:space="preserve">cohort includes all subjects who </w:t>
      </w:r>
      <w:r w:rsidRPr="006145C7">
        <w:rPr>
          <w:rFonts w:ascii="Arial" w:hAnsi="Arial" w:cs="Arial"/>
          <w:sz w:val="24"/>
          <w:szCs w:val="24"/>
        </w:rPr>
        <w:t xml:space="preserve">received at least one balloon with a minimum </w:t>
      </w:r>
      <w:r w:rsidR="0097695B" w:rsidRPr="006145C7">
        <w:rPr>
          <w:rFonts w:ascii="Arial" w:hAnsi="Arial" w:cs="Arial"/>
          <w:sz w:val="24"/>
          <w:szCs w:val="24"/>
        </w:rPr>
        <w:t xml:space="preserve">balloon </w:t>
      </w:r>
      <w:r w:rsidRPr="006145C7">
        <w:rPr>
          <w:rFonts w:ascii="Arial" w:hAnsi="Arial" w:cs="Arial"/>
          <w:sz w:val="24"/>
          <w:szCs w:val="24"/>
        </w:rPr>
        <w:t>therapy of 22 weeks duration.</w:t>
      </w:r>
    </w:p>
    <w:p w:rsidR="007062A8" w:rsidRDefault="0076299A" w:rsidP="007062A8">
      <w:pPr>
        <w:pStyle w:val="ListParagraph"/>
        <w:numPr>
          <w:ilvl w:val="0"/>
          <w:numId w:val="1"/>
        </w:numPr>
        <w:spacing w:line="480" w:lineRule="auto"/>
        <w:rPr>
          <w:rFonts w:ascii="Arial" w:hAnsi="Arial" w:cs="Arial"/>
          <w:sz w:val="24"/>
          <w:szCs w:val="24"/>
        </w:rPr>
      </w:pPr>
      <w:r w:rsidRPr="006145C7">
        <w:rPr>
          <w:rFonts w:ascii="Arial" w:hAnsi="Arial" w:cs="Arial"/>
          <w:sz w:val="24"/>
          <w:szCs w:val="24"/>
        </w:rPr>
        <w:lastRenderedPageBreak/>
        <w:t xml:space="preserve">The durability effectiveness cohort included all subjects followed </w:t>
      </w:r>
      <w:r w:rsidR="00230726" w:rsidRPr="006145C7">
        <w:rPr>
          <w:rFonts w:ascii="Arial" w:hAnsi="Arial" w:cs="Arial"/>
          <w:sz w:val="24"/>
          <w:szCs w:val="24"/>
        </w:rPr>
        <w:t xml:space="preserve">for at least </w:t>
      </w:r>
      <w:r w:rsidR="004945F0" w:rsidRPr="006145C7">
        <w:rPr>
          <w:rFonts w:ascii="Arial" w:hAnsi="Arial" w:cs="Arial"/>
          <w:sz w:val="24"/>
          <w:szCs w:val="24"/>
        </w:rPr>
        <w:t xml:space="preserve">48 weeks </w:t>
      </w:r>
      <w:r w:rsidRPr="006145C7">
        <w:rPr>
          <w:rFonts w:ascii="Arial" w:hAnsi="Arial" w:cs="Arial"/>
          <w:sz w:val="24"/>
          <w:szCs w:val="24"/>
        </w:rPr>
        <w:t xml:space="preserve">after </w:t>
      </w:r>
      <w:r w:rsidR="004945F0" w:rsidRPr="006145C7">
        <w:rPr>
          <w:rFonts w:ascii="Arial" w:hAnsi="Arial" w:cs="Arial"/>
          <w:sz w:val="24"/>
          <w:szCs w:val="24"/>
        </w:rPr>
        <w:t>the initial balloon and</w:t>
      </w:r>
      <w:r w:rsidRPr="006145C7">
        <w:rPr>
          <w:rFonts w:ascii="Arial" w:hAnsi="Arial" w:cs="Arial"/>
          <w:sz w:val="24"/>
          <w:szCs w:val="24"/>
        </w:rPr>
        <w:t xml:space="preserve"> who lost at least 0.1 lbs during balloon therapy.</w:t>
      </w:r>
    </w:p>
    <w:p w:rsidR="000C5546" w:rsidRPr="000C5546" w:rsidRDefault="000C5546" w:rsidP="000C5546">
      <w:pPr>
        <w:spacing w:line="480" w:lineRule="auto"/>
        <w:rPr>
          <w:rFonts w:ascii="Arial" w:hAnsi="Arial" w:cs="Arial"/>
          <w:sz w:val="24"/>
          <w:szCs w:val="24"/>
        </w:rPr>
      </w:pPr>
      <w:r w:rsidRPr="000C5546">
        <w:rPr>
          <w:rFonts w:ascii="Arial" w:hAnsi="Arial" w:cs="Arial"/>
          <w:sz w:val="24"/>
          <w:szCs w:val="24"/>
        </w:rPr>
        <w:t>Calculations</w:t>
      </w:r>
    </w:p>
    <w:p w:rsidR="000C5546" w:rsidRPr="000C5546" w:rsidRDefault="000C5546" w:rsidP="000C5546">
      <w:pPr>
        <w:spacing w:line="480" w:lineRule="auto"/>
        <w:rPr>
          <w:rFonts w:ascii="Arial" w:hAnsi="Arial" w:cs="Arial"/>
          <w:sz w:val="24"/>
          <w:szCs w:val="24"/>
        </w:rPr>
      </w:pPr>
      <w:r w:rsidRPr="000C5546">
        <w:rPr>
          <w:rFonts w:ascii="Arial" w:hAnsi="Arial" w:cs="Arial"/>
          <w:sz w:val="24"/>
          <w:szCs w:val="24"/>
        </w:rPr>
        <w:t>Percent total body weight loss was calculated as:</w:t>
      </w:r>
    </w:p>
    <w:p w:rsidR="000C5546" w:rsidRPr="004E6B86" w:rsidRDefault="000C5546" w:rsidP="000C5546">
      <w:pPr>
        <w:spacing w:line="480" w:lineRule="auto"/>
        <w:rPr>
          <w:rFonts w:ascii="Arial" w:hAnsi="Arial" w:cs="Arial"/>
          <w:i/>
          <w:sz w:val="24"/>
          <w:szCs w:val="24"/>
        </w:rPr>
      </w:pPr>
      <w:r w:rsidRPr="004E6B86">
        <w:rPr>
          <w:rFonts w:ascii="Arial" w:hAnsi="Arial" w:cs="Arial"/>
          <w:i/>
          <w:sz w:val="24"/>
          <w:szCs w:val="24"/>
        </w:rPr>
        <w:t>%TBWL=  (Starting Weight (kg)-Ending Weight (kg))/(Starting Weight (kg))  ×100%</w:t>
      </w:r>
    </w:p>
    <w:p w:rsidR="000C5546" w:rsidRPr="000C5546" w:rsidRDefault="000C5546" w:rsidP="000C5546">
      <w:pPr>
        <w:spacing w:line="480" w:lineRule="auto"/>
        <w:rPr>
          <w:rFonts w:ascii="Arial" w:hAnsi="Arial" w:cs="Arial"/>
          <w:sz w:val="24"/>
          <w:szCs w:val="24"/>
        </w:rPr>
      </w:pPr>
      <w:r w:rsidRPr="000C5546">
        <w:rPr>
          <w:rFonts w:ascii="Arial" w:hAnsi="Arial" w:cs="Arial"/>
          <w:sz w:val="24"/>
          <w:szCs w:val="24"/>
        </w:rPr>
        <w:t>Percent Excess Weight Loss was calculated as:</w:t>
      </w:r>
    </w:p>
    <w:p w:rsidR="000C5546" w:rsidRPr="004E6B86" w:rsidRDefault="000C5546" w:rsidP="000C5546">
      <w:pPr>
        <w:spacing w:line="480" w:lineRule="auto"/>
        <w:rPr>
          <w:rFonts w:ascii="Arial" w:hAnsi="Arial" w:cs="Arial"/>
          <w:i/>
          <w:sz w:val="24"/>
          <w:szCs w:val="24"/>
        </w:rPr>
      </w:pPr>
      <w:r w:rsidRPr="004E6B86">
        <w:rPr>
          <w:rFonts w:ascii="Arial" w:hAnsi="Arial" w:cs="Arial"/>
          <w:i/>
          <w:sz w:val="24"/>
          <w:szCs w:val="24"/>
        </w:rPr>
        <w:t>%EWL=  (Starting Weight (kg)-Ending Weight (kg))/(Excess Weight (kg))  ×100%</w:t>
      </w:r>
    </w:p>
    <w:p w:rsidR="000C5546" w:rsidRPr="004E6B86" w:rsidRDefault="000C5546" w:rsidP="000C5546">
      <w:pPr>
        <w:spacing w:line="480" w:lineRule="auto"/>
        <w:rPr>
          <w:rFonts w:ascii="Arial" w:hAnsi="Arial" w:cs="Arial"/>
          <w:i/>
          <w:sz w:val="24"/>
          <w:szCs w:val="24"/>
        </w:rPr>
      </w:pPr>
      <w:r w:rsidRPr="004E6B86">
        <w:rPr>
          <w:rFonts w:ascii="Arial" w:hAnsi="Arial" w:cs="Arial"/>
          <w:i/>
          <w:sz w:val="24"/>
          <w:szCs w:val="24"/>
        </w:rPr>
        <w:t>Excess Weight (kg)=Starting Weight(kg)-W</w:t>
      </w:r>
      <w:r w:rsidR="004E6B86" w:rsidRPr="004E6B86">
        <w:rPr>
          <w:rFonts w:ascii="Arial" w:hAnsi="Arial" w:cs="Arial"/>
          <w:i/>
          <w:sz w:val="24"/>
          <w:szCs w:val="24"/>
        </w:rPr>
        <w:t>eight (kg)for a BMI of 25  kg⁄m</w:t>
      </w:r>
      <w:r w:rsidRPr="004E6B86">
        <w:rPr>
          <w:rFonts w:ascii="Arial" w:hAnsi="Arial" w:cs="Arial"/>
          <w:i/>
          <w:sz w:val="24"/>
          <w:szCs w:val="24"/>
          <w:vertAlign w:val="superscript"/>
        </w:rPr>
        <w:t>2</w:t>
      </w:r>
    </w:p>
    <w:p w:rsidR="003E7C01" w:rsidRPr="006145C7" w:rsidRDefault="0097695B" w:rsidP="0047708B">
      <w:pPr>
        <w:spacing w:line="480" w:lineRule="auto"/>
        <w:rPr>
          <w:rFonts w:ascii="Arial" w:hAnsi="Arial" w:cs="Arial"/>
          <w:sz w:val="24"/>
          <w:szCs w:val="24"/>
        </w:rPr>
      </w:pPr>
      <w:r w:rsidRPr="006145C7">
        <w:rPr>
          <w:rFonts w:ascii="Arial" w:hAnsi="Arial" w:cs="Arial"/>
          <w:sz w:val="24"/>
          <w:szCs w:val="24"/>
        </w:rPr>
        <w:t>Statistical Methods</w:t>
      </w:r>
    </w:p>
    <w:p w:rsidR="0097695B" w:rsidRPr="006145C7" w:rsidRDefault="00084DF0" w:rsidP="00C65736">
      <w:pPr>
        <w:spacing w:line="480" w:lineRule="auto"/>
        <w:ind w:firstLine="720"/>
        <w:rPr>
          <w:rFonts w:ascii="Arial" w:hAnsi="Arial" w:cs="Arial"/>
          <w:sz w:val="24"/>
          <w:szCs w:val="24"/>
        </w:rPr>
      </w:pPr>
      <w:r w:rsidRPr="006145C7">
        <w:rPr>
          <w:rFonts w:ascii="Arial" w:hAnsi="Arial" w:cs="Arial"/>
          <w:sz w:val="24"/>
          <w:szCs w:val="24"/>
        </w:rPr>
        <w:t xml:space="preserve">For the post market approval study, </w:t>
      </w:r>
      <w:r w:rsidR="004945F0" w:rsidRPr="006145C7">
        <w:rPr>
          <w:rFonts w:ascii="Arial" w:hAnsi="Arial" w:cs="Arial"/>
          <w:sz w:val="24"/>
          <w:szCs w:val="24"/>
        </w:rPr>
        <w:t xml:space="preserve"> study sam</w:t>
      </w:r>
      <w:r w:rsidR="00BC49E4">
        <w:rPr>
          <w:rFonts w:ascii="Arial" w:hAnsi="Arial" w:cs="Arial"/>
          <w:sz w:val="24"/>
          <w:szCs w:val="24"/>
        </w:rPr>
        <w:t>ple size of 200 mITT patients was</w:t>
      </w:r>
      <w:r w:rsidR="004945F0" w:rsidRPr="006145C7">
        <w:rPr>
          <w:rFonts w:ascii="Arial" w:hAnsi="Arial" w:cs="Arial"/>
          <w:sz w:val="24"/>
          <w:szCs w:val="24"/>
        </w:rPr>
        <w:t xml:space="preserve"> based on allowing up to 10% attrition rate</w:t>
      </w:r>
      <w:r w:rsidR="00CD1D41" w:rsidRPr="006145C7">
        <w:rPr>
          <w:rFonts w:ascii="Arial" w:hAnsi="Arial" w:cs="Arial"/>
          <w:sz w:val="24"/>
          <w:szCs w:val="24"/>
        </w:rPr>
        <w:t xml:space="preserve"> for a minimum evaluable sample size of 180 patients to obtain 80% power for the study primary safety endpoint (device-procedure related adverse event rate) using a one-sided 0.025 significance</w:t>
      </w:r>
      <w:r w:rsidR="0059406A" w:rsidRPr="006145C7">
        <w:rPr>
          <w:rFonts w:ascii="Arial" w:hAnsi="Arial" w:cs="Arial"/>
          <w:sz w:val="24"/>
          <w:szCs w:val="24"/>
        </w:rPr>
        <w:t xml:space="preserve"> level</w:t>
      </w:r>
      <w:r w:rsidR="00CD1D41" w:rsidRPr="006145C7">
        <w:rPr>
          <w:rFonts w:ascii="Arial" w:hAnsi="Arial" w:cs="Arial"/>
          <w:sz w:val="24"/>
          <w:szCs w:val="24"/>
        </w:rPr>
        <w:t>.</w:t>
      </w:r>
      <w:r w:rsidR="000C5546">
        <w:rPr>
          <w:rFonts w:ascii="Arial" w:hAnsi="Arial" w:cs="Arial"/>
          <w:sz w:val="24"/>
          <w:szCs w:val="24"/>
        </w:rPr>
        <w:t xml:space="preserve"> In this int</w:t>
      </w:r>
      <w:r w:rsidR="000A124A">
        <w:rPr>
          <w:rFonts w:ascii="Arial" w:hAnsi="Arial" w:cs="Arial"/>
          <w:sz w:val="24"/>
          <w:szCs w:val="24"/>
        </w:rPr>
        <w:t>erim analysis, all means listed are reported</w:t>
      </w:r>
      <w:r w:rsidR="000C5546">
        <w:rPr>
          <w:rFonts w:ascii="Arial" w:hAnsi="Arial" w:cs="Arial"/>
          <w:sz w:val="24"/>
          <w:szCs w:val="24"/>
        </w:rPr>
        <w:t xml:space="preserve"> as mean ±</w:t>
      </w:r>
      <w:r w:rsidR="004E6B86">
        <w:rPr>
          <w:rFonts w:ascii="Arial" w:hAnsi="Arial" w:cs="Arial"/>
          <w:sz w:val="24"/>
          <w:szCs w:val="24"/>
        </w:rPr>
        <w:t xml:space="preserve"> standard deviationand</w:t>
      </w:r>
      <w:r w:rsidR="000A124A">
        <w:rPr>
          <w:rFonts w:ascii="Arial" w:hAnsi="Arial" w:cs="Arial"/>
          <w:sz w:val="24"/>
          <w:szCs w:val="24"/>
        </w:rPr>
        <w:t xml:space="preserve"> general</w:t>
      </w:r>
      <w:r w:rsidR="001A6510">
        <w:rPr>
          <w:rFonts w:ascii="Arial" w:hAnsi="Arial" w:cs="Arial"/>
          <w:sz w:val="24"/>
          <w:szCs w:val="24"/>
        </w:rPr>
        <w:t xml:space="preserve"> linear </w:t>
      </w:r>
      <w:r w:rsidR="002F2936">
        <w:rPr>
          <w:rFonts w:ascii="Arial" w:hAnsi="Arial" w:cs="Arial"/>
          <w:sz w:val="24"/>
          <w:szCs w:val="24"/>
        </w:rPr>
        <w:t>regression analysis</w:t>
      </w:r>
      <w:r w:rsidR="001A6510">
        <w:rPr>
          <w:rFonts w:ascii="Arial" w:hAnsi="Arial" w:cs="Arial"/>
          <w:sz w:val="24"/>
          <w:szCs w:val="24"/>
        </w:rPr>
        <w:t xml:space="preserve"> was performed to identify predictors of weight loss success</w:t>
      </w:r>
      <w:r w:rsidR="000A124A">
        <w:rPr>
          <w:rFonts w:ascii="Arial" w:hAnsi="Arial" w:cs="Arial"/>
          <w:sz w:val="24"/>
          <w:szCs w:val="24"/>
        </w:rPr>
        <w:t xml:space="preserve"> (%TBWL at balloon removal)</w:t>
      </w:r>
      <w:r w:rsidR="002F2936">
        <w:rPr>
          <w:rFonts w:ascii="Arial" w:hAnsi="Arial" w:cs="Arial"/>
          <w:sz w:val="24"/>
          <w:szCs w:val="24"/>
        </w:rPr>
        <w:t>.</w:t>
      </w:r>
      <w:r w:rsidR="000A124A">
        <w:rPr>
          <w:rFonts w:ascii="Arial" w:hAnsi="Arial" w:cs="Arial"/>
          <w:sz w:val="24"/>
          <w:szCs w:val="24"/>
        </w:rPr>
        <w:t xml:space="preserve">All analyses were conducted on data as entered with no imputations. </w:t>
      </w:r>
      <w:r w:rsidR="00BD6EBB" w:rsidRPr="006145C7">
        <w:rPr>
          <w:rFonts w:ascii="Arial" w:hAnsi="Arial" w:cs="Arial"/>
          <w:sz w:val="24"/>
          <w:szCs w:val="24"/>
        </w:rPr>
        <w:t xml:space="preserve">SAS 9.3 </w:t>
      </w:r>
      <w:r w:rsidR="00960227" w:rsidRPr="006145C7">
        <w:rPr>
          <w:rFonts w:ascii="Arial" w:hAnsi="Arial" w:cs="Arial"/>
          <w:sz w:val="24"/>
          <w:szCs w:val="24"/>
        </w:rPr>
        <w:t xml:space="preserve">(Cary, NC) </w:t>
      </w:r>
      <w:r w:rsidR="00BD6EBB" w:rsidRPr="006145C7">
        <w:rPr>
          <w:rFonts w:ascii="Arial" w:hAnsi="Arial" w:cs="Arial"/>
          <w:sz w:val="24"/>
          <w:szCs w:val="24"/>
        </w:rPr>
        <w:t>software was used to perform all the statistical analyses.</w:t>
      </w:r>
      <w:r w:rsidR="0097695B" w:rsidRPr="006145C7">
        <w:rPr>
          <w:rFonts w:ascii="Arial" w:hAnsi="Arial" w:cs="Arial"/>
          <w:sz w:val="24"/>
          <w:szCs w:val="24"/>
        </w:rPr>
        <w:tab/>
      </w:r>
    </w:p>
    <w:p w:rsidR="003E7C01" w:rsidRPr="006145C7" w:rsidRDefault="004A6C8E" w:rsidP="0047708B">
      <w:pPr>
        <w:spacing w:line="480" w:lineRule="auto"/>
        <w:rPr>
          <w:rFonts w:ascii="Arial" w:hAnsi="Arial" w:cs="Arial"/>
          <w:b/>
          <w:sz w:val="24"/>
          <w:szCs w:val="24"/>
        </w:rPr>
      </w:pPr>
      <w:r w:rsidRPr="006145C7">
        <w:rPr>
          <w:rFonts w:ascii="Arial" w:hAnsi="Arial" w:cs="Arial"/>
          <w:b/>
          <w:sz w:val="24"/>
          <w:szCs w:val="24"/>
        </w:rPr>
        <w:t>Results</w:t>
      </w:r>
    </w:p>
    <w:p w:rsidR="004A6C8E" w:rsidRPr="006145C7" w:rsidRDefault="004A6C8E" w:rsidP="0047708B">
      <w:pPr>
        <w:spacing w:line="480" w:lineRule="auto"/>
        <w:rPr>
          <w:rFonts w:ascii="Arial" w:hAnsi="Arial" w:cs="Arial"/>
          <w:sz w:val="24"/>
          <w:szCs w:val="24"/>
        </w:rPr>
      </w:pPr>
      <w:r w:rsidRPr="006145C7">
        <w:rPr>
          <w:rFonts w:ascii="Arial" w:hAnsi="Arial" w:cs="Arial"/>
          <w:sz w:val="24"/>
          <w:szCs w:val="24"/>
        </w:rPr>
        <w:t>Participants</w:t>
      </w:r>
    </w:p>
    <w:p w:rsidR="004A6C8E" w:rsidRPr="006145C7" w:rsidRDefault="006941BE" w:rsidP="00875BEA">
      <w:pPr>
        <w:spacing w:line="480" w:lineRule="auto"/>
        <w:ind w:firstLine="720"/>
        <w:rPr>
          <w:rFonts w:ascii="Arial" w:hAnsi="Arial" w:cs="Arial"/>
          <w:sz w:val="24"/>
          <w:szCs w:val="24"/>
        </w:rPr>
      </w:pPr>
      <w:r w:rsidRPr="006145C7">
        <w:rPr>
          <w:rFonts w:ascii="Arial" w:hAnsi="Arial" w:cs="Arial"/>
          <w:sz w:val="24"/>
          <w:szCs w:val="24"/>
        </w:rPr>
        <w:lastRenderedPageBreak/>
        <w:t>In this analysis of the first</w:t>
      </w:r>
      <w:r w:rsidR="00E6129A" w:rsidRPr="006145C7">
        <w:rPr>
          <w:rFonts w:ascii="Arial" w:hAnsi="Arial" w:cs="Arial"/>
          <w:sz w:val="24"/>
          <w:szCs w:val="24"/>
        </w:rPr>
        <w:t xml:space="preserve"> consecutive</w:t>
      </w:r>
      <w:r w:rsidR="00FA435C" w:rsidRPr="006145C7">
        <w:rPr>
          <w:rFonts w:ascii="Arial" w:hAnsi="Arial" w:cs="Arial"/>
          <w:sz w:val="24"/>
          <w:szCs w:val="24"/>
        </w:rPr>
        <w:t>n=</w:t>
      </w:r>
      <w:r w:rsidRPr="006145C7">
        <w:rPr>
          <w:rFonts w:ascii="Arial" w:hAnsi="Arial" w:cs="Arial"/>
          <w:sz w:val="24"/>
          <w:szCs w:val="24"/>
        </w:rPr>
        <w:t>100 successfully administered balloon patients, n=10</w:t>
      </w:r>
      <w:r w:rsidR="00084DF0" w:rsidRPr="006145C7">
        <w:rPr>
          <w:rFonts w:ascii="Arial" w:hAnsi="Arial" w:cs="Arial"/>
          <w:sz w:val="24"/>
          <w:szCs w:val="24"/>
        </w:rPr>
        <w:t>9</w:t>
      </w:r>
      <w:r w:rsidRPr="006145C7">
        <w:rPr>
          <w:rFonts w:ascii="Arial" w:hAnsi="Arial" w:cs="Arial"/>
          <w:sz w:val="24"/>
          <w:szCs w:val="24"/>
        </w:rPr>
        <w:t xml:space="preserve"> were enrolled and </w:t>
      </w:r>
      <w:r w:rsidR="00084DF0" w:rsidRPr="006145C7">
        <w:rPr>
          <w:rFonts w:ascii="Arial" w:hAnsi="Arial" w:cs="Arial"/>
          <w:sz w:val="24"/>
          <w:szCs w:val="24"/>
        </w:rPr>
        <w:t xml:space="preserve">in n=102 </w:t>
      </w:r>
      <w:r w:rsidR="004A6C8E" w:rsidRPr="006145C7">
        <w:rPr>
          <w:rFonts w:ascii="Arial" w:hAnsi="Arial" w:cs="Arial"/>
          <w:sz w:val="24"/>
          <w:szCs w:val="24"/>
        </w:rPr>
        <w:t xml:space="preserve">SIGBS therapy </w:t>
      </w:r>
      <w:r w:rsidR="00957BDD" w:rsidRPr="006145C7">
        <w:rPr>
          <w:rFonts w:ascii="Arial" w:hAnsi="Arial" w:cs="Arial"/>
          <w:sz w:val="24"/>
          <w:szCs w:val="24"/>
        </w:rPr>
        <w:t>was attempted.</w:t>
      </w:r>
      <w:r w:rsidR="00084DF0" w:rsidRPr="006145C7">
        <w:rPr>
          <w:rFonts w:ascii="Arial" w:hAnsi="Arial" w:cs="Arial"/>
          <w:sz w:val="24"/>
          <w:szCs w:val="24"/>
        </w:rPr>
        <w:t>Seven patients were enrolled, but did not attempt balloon administration and t</w:t>
      </w:r>
      <w:r w:rsidR="00FA435C" w:rsidRPr="006145C7">
        <w:rPr>
          <w:rFonts w:ascii="Arial" w:hAnsi="Arial" w:cs="Arial"/>
          <w:sz w:val="24"/>
          <w:szCs w:val="24"/>
        </w:rPr>
        <w:t xml:space="preserve">wo patients were not able to swallow the SIGBS capsule.  All </w:t>
      </w:r>
      <w:r w:rsidR="005E0F91" w:rsidRPr="006145C7">
        <w:rPr>
          <w:rFonts w:ascii="Arial" w:hAnsi="Arial" w:cs="Arial"/>
          <w:sz w:val="24"/>
          <w:szCs w:val="24"/>
        </w:rPr>
        <w:t>n=100 patients who had at least one balloon successfully administered were included in the mITT analysis.</w:t>
      </w:r>
      <w:r w:rsidR="004B70FD" w:rsidRPr="006145C7">
        <w:rPr>
          <w:rFonts w:ascii="Arial" w:hAnsi="Arial" w:cs="Arial"/>
          <w:sz w:val="24"/>
          <w:szCs w:val="24"/>
        </w:rPr>
        <w:t xml:space="preserve"> Baseline demographics and characteristics are seen in Table 1. </w:t>
      </w:r>
      <w:r w:rsidR="005E0F91" w:rsidRPr="006145C7">
        <w:rPr>
          <w:rFonts w:ascii="Arial" w:hAnsi="Arial" w:cs="Arial"/>
          <w:sz w:val="24"/>
          <w:szCs w:val="24"/>
        </w:rPr>
        <w:t xml:space="preserve"> N=89 patients </w:t>
      </w:r>
      <w:r w:rsidR="004B70FD" w:rsidRPr="006145C7">
        <w:rPr>
          <w:rFonts w:ascii="Arial" w:hAnsi="Arial" w:cs="Arial"/>
          <w:sz w:val="24"/>
          <w:szCs w:val="24"/>
        </w:rPr>
        <w:t xml:space="preserve">completed at least 22 weeks of therapy with any number of balloons and </w:t>
      </w:r>
      <w:r w:rsidR="005E0F91" w:rsidRPr="006145C7">
        <w:rPr>
          <w:rFonts w:ascii="Arial" w:hAnsi="Arial" w:cs="Arial"/>
          <w:sz w:val="24"/>
          <w:szCs w:val="24"/>
        </w:rPr>
        <w:t>were included in t</w:t>
      </w:r>
      <w:r w:rsidR="00185801" w:rsidRPr="006145C7">
        <w:rPr>
          <w:rFonts w:ascii="Arial" w:hAnsi="Arial" w:cs="Arial"/>
          <w:sz w:val="24"/>
          <w:szCs w:val="24"/>
        </w:rPr>
        <w:t>he Completer analysis (Figure 1)</w:t>
      </w:r>
      <w:r w:rsidR="005E0F91" w:rsidRPr="006145C7">
        <w:rPr>
          <w:rFonts w:ascii="Arial" w:hAnsi="Arial" w:cs="Arial"/>
          <w:sz w:val="24"/>
          <w:szCs w:val="24"/>
        </w:rPr>
        <w:t>.  Balloon administration success rates were 98.0%, 99.0%, and 98.9% for the first, second, and third balloon admi</w:t>
      </w:r>
      <w:r w:rsidR="004B70FD" w:rsidRPr="006145C7">
        <w:rPr>
          <w:rFonts w:ascii="Arial" w:hAnsi="Arial" w:cs="Arial"/>
          <w:sz w:val="24"/>
          <w:szCs w:val="24"/>
        </w:rPr>
        <w:t>nistrations</w:t>
      </w:r>
      <w:r w:rsidR="00960227" w:rsidRPr="006145C7">
        <w:rPr>
          <w:rFonts w:ascii="Arial" w:hAnsi="Arial" w:cs="Arial"/>
          <w:sz w:val="24"/>
          <w:szCs w:val="24"/>
        </w:rPr>
        <w:t>, respectively</w:t>
      </w:r>
      <w:r w:rsidR="004B70FD" w:rsidRPr="006145C7">
        <w:rPr>
          <w:rFonts w:ascii="Arial" w:hAnsi="Arial" w:cs="Arial"/>
          <w:sz w:val="24"/>
          <w:szCs w:val="24"/>
        </w:rPr>
        <w:t>.</w:t>
      </w:r>
      <w:r w:rsidR="00091B9D" w:rsidRPr="006145C7">
        <w:rPr>
          <w:rFonts w:ascii="Arial" w:hAnsi="Arial" w:cs="Arial"/>
          <w:sz w:val="24"/>
          <w:szCs w:val="24"/>
        </w:rPr>
        <w:t xml:space="preserve"> Three of these swallow failures did not pass the upper esophageal sphincter and one failed to transit the esophagus.</w:t>
      </w:r>
      <w:r w:rsidR="0010636A">
        <w:rPr>
          <w:rFonts w:ascii="Arial" w:hAnsi="Arial" w:cs="Arial"/>
          <w:sz w:val="24"/>
          <w:szCs w:val="24"/>
        </w:rPr>
        <w:t xml:space="preserve"> </w:t>
      </w:r>
      <w:r w:rsidR="001E61BF" w:rsidRPr="006145C7">
        <w:rPr>
          <w:rFonts w:ascii="Arial" w:hAnsi="Arial" w:cs="Arial"/>
          <w:sz w:val="24"/>
          <w:szCs w:val="24"/>
        </w:rPr>
        <w:t xml:space="preserve">Only 4% of patients had devices removed early due to symptoms. </w:t>
      </w:r>
      <w:r w:rsidR="004B70FD" w:rsidRPr="006145C7">
        <w:rPr>
          <w:rFonts w:ascii="Arial" w:hAnsi="Arial" w:cs="Arial"/>
          <w:sz w:val="24"/>
          <w:szCs w:val="24"/>
        </w:rPr>
        <w:t xml:space="preserve">All patients in the </w:t>
      </w:r>
      <w:r w:rsidR="001E61BF" w:rsidRPr="006145C7">
        <w:rPr>
          <w:rFonts w:ascii="Arial" w:hAnsi="Arial" w:cs="Arial"/>
          <w:sz w:val="24"/>
          <w:szCs w:val="24"/>
        </w:rPr>
        <w:t xml:space="preserve">mITT analysis had a study duration of </w:t>
      </w:r>
      <w:r w:rsidR="0059406A" w:rsidRPr="006145C7">
        <w:rPr>
          <w:rFonts w:ascii="Arial" w:hAnsi="Arial" w:cs="Arial"/>
          <w:sz w:val="24"/>
          <w:szCs w:val="24"/>
        </w:rPr>
        <w:t xml:space="preserve">at least </w:t>
      </w:r>
      <w:r w:rsidR="001E61BF" w:rsidRPr="006145C7">
        <w:rPr>
          <w:rFonts w:ascii="Arial" w:hAnsi="Arial" w:cs="Arial"/>
          <w:sz w:val="24"/>
          <w:szCs w:val="24"/>
        </w:rPr>
        <w:t>48 weeks</w:t>
      </w:r>
      <w:r w:rsidR="004B70FD" w:rsidRPr="006145C7">
        <w:rPr>
          <w:rFonts w:ascii="Arial" w:hAnsi="Arial" w:cs="Arial"/>
          <w:sz w:val="24"/>
          <w:szCs w:val="24"/>
        </w:rPr>
        <w:t xml:space="preserve">, but only </w:t>
      </w:r>
      <w:r w:rsidR="00960227" w:rsidRPr="006145C7">
        <w:rPr>
          <w:rFonts w:ascii="Arial" w:hAnsi="Arial" w:cs="Arial"/>
          <w:sz w:val="24"/>
          <w:szCs w:val="24"/>
        </w:rPr>
        <w:t>49</w:t>
      </w:r>
      <w:r w:rsidR="004B70FD" w:rsidRPr="006145C7">
        <w:rPr>
          <w:rFonts w:ascii="Arial" w:hAnsi="Arial" w:cs="Arial"/>
          <w:sz w:val="24"/>
          <w:szCs w:val="24"/>
        </w:rPr>
        <w:t>% of patients completed the 48 week time point visit.  Of these patients, n=</w:t>
      </w:r>
      <w:r w:rsidR="00960227" w:rsidRPr="006145C7">
        <w:rPr>
          <w:rFonts w:ascii="Arial" w:hAnsi="Arial" w:cs="Arial"/>
          <w:sz w:val="24"/>
          <w:szCs w:val="24"/>
        </w:rPr>
        <w:t xml:space="preserve">48 </w:t>
      </w:r>
      <w:r w:rsidR="004B70FD" w:rsidRPr="006145C7">
        <w:rPr>
          <w:rFonts w:ascii="Arial" w:hAnsi="Arial" w:cs="Arial"/>
          <w:sz w:val="24"/>
          <w:szCs w:val="24"/>
        </w:rPr>
        <w:t>were included in the durability effectiveness cohort</w:t>
      </w:r>
      <w:r w:rsidR="00A447BB" w:rsidRPr="006145C7">
        <w:rPr>
          <w:rFonts w:ascii="Arial" w:hAnsi="Arial" w:cs="Arial"/>
          <w:sz w:val="24"/>
          <w:szCs w:val="24"/>
        </w:rPr>
        <w:t>.</w:t>
      </w:r>
      <w:r w:rsidR="007964FD">
        <w:rPr>
          <w:rFonts w:ascii="Arial" w:hAnsi="Arial" w:cs="Arial"/>
          <w:sz w:val="24"/>
          <w:szCs w:val="24"/>
        </w:rPr>
        <w:t xml:space="preserve">  The average number of lifestyle therapy</w:t>
      </w:r>
      <w:r w:rsidR="00BC49E4">
        <w:rPr>
          <w:rFonts w:ascii="Arial" w:hAnsi="Arial" w:cs="Arial"/>
          <w:sz w:val="24"/>
          <w:szCs w:val="24"/>
        </w:rPr>
        <w:t xml:space="preserve"> sessions </w:t>
      </w:r>
      <w:r w:rsidR="001D3B5F">
        <w:rPr>
          <w:rFonts w:ascii="Arial" w:hAnsi="Arial" w:cs="Arial"/>
          <w:sz w:val="24"/>
          <w:szCs w:val="24"/>
        </w:rPr>
        <w:t>attended including both group and individual sessions was 8.5 and 88% of pa</w:t>
      </w:r>
      <w:r w:rsidR="007964FD">
        <w:rPr>
          <w:rFonts w:ascii="Arial" w:hAnsi="Arial" w:cs="Arial"/>
          <w:sz w:val="24"/>
          <w:szCs w:val="24"/>
        </w:rPr>
        <w:t>tients had at least 6 lifestyle therapy</w:t>
      </w:r>
      <w:r w:rsidR="001D3B5F">
        <w:rPr>
          <w:rFonts w:ascii="Arial" w:hAnsi="Arial" w:cs="Arial"/>
          <w:sz w:val="24"/>
          <w:szCs w:val="24"/>
        </w:rPr>
        <w:t xml:space="preserve"> sessions in the first 6 months of therapy.</w:t>
      </w:r>
    </w:p>
    <w:p w:rsidR="00F23010" w:rsidRPr="006145C7" w:rsidRDefault="00F23010" w:rsidP="0047708B">
      <w:pPr>
        <w:spacing w:line="480" w:lineRule="auto"/>
        <w:rPr>
          <w:rFonts w:ascii="Arial" w:hAnsi="Arial" w:cs="Arial"/>
          <w:sz w:val="24"/>
          <w:szCs w:val="24"/>
        </w:rPr>
      </w:pPr>
      <w:r w:rsidRPr="006145C7">
        <w:rPr>
          <w:rFonts w:ascii="Arial" w:hAnsi="Arial" w:cs="Arial"/>
          <w:sz w:val="24"/>
          <w:szCs w:val="24"/>
        </w:rPr>
        <w:t>Weight Loss Outcomes</w:t>
      </w:r>
    </w:p>
    <w:p w:rsidR="00F23010" w:rsidRDefault="00F23010" w:rsidP="0070172C">
      <w:pPr>
        <w:spacing w:line="480" w:lineRule="auto"/>
        <w:rPr>
          <w:rFonts w:ascii="Arial" w:hAnsi="Arial" w:cs="Arial"/>
          <w:color w:val="000000"/>
          <w:sz w:val="24"/>
          <w:szCs w:val="24"/>
        </w:rPr>
      </w:pPr>
      <w:r w:rsidRPr="006145C7">
        <w:rPr>
          <w:rFonts w:ascii="Arial" w:hAnsi="Arial" w:cs="Arial"/>
          <w:sz w:val="24"/>
          <w:szCs w:val="24"/>
        </w:rPr>
        <w:tab/>
        <w:t xml:space="preserve">At </w:t>
      </w:r>
      <w:r w:rsidR="00960227" w:rsidRPr="006145C7">
        <w:rPr>
          <w:rFonts w:ascii="Arial" w:hAnsi="Arial" w:cs="Arial"/>
          <w:sz w:val="24"/>
          <w:szCs w:val="24"/>
        </w:rPr>
        <w:t>balloon removal</w:t>
      </w:r>
      <w:r w:rsidRPr="006145C7">
        <w:rPr>
          <w:rFonts w:ascii="Arial" w:hAnsi="Arial" w:cs="Arial"/>
          <w:sz w:val="24"/>
          <w:szCs w:val="24"/>
        </w:rPr>
        <w:t xml:space="preserve">, </w:t>
      </w:r>
      <w:r w:rsidR="00F27D9B" w:rsidRPr="006145C7">
        <w:rPr>
          <w:rFonts w:ascii="Arial" w:hAnsi="Arial" w:cs="Arial"/>
          <w:sz w:val="24"/>
          <w:szCs w:val="24"/>
        </w:rPr>
        <w:t xml:space="preserve">patients in the mITT cohort achieved </w:t>
      </w:r>
      <w:r w:rsidR="00F27D9B" w:rsidRPr="006145C7">
        <w:rPr>
          <w:rFonts w:ascii="Arial" w:hAnsi="Arial" w:cs="Arial"/>
          <w:color w:val="000000"/>
          <w:sz w:val="24"/>
          <w:szCs w:val="24"/>
        </w:rPr>
        <w:t>10.1% ± 6.2% TBWL</w:t>
      </w:r>
      <w:r w:rsidR="00BC1EB3" w:rsidRPr="006145C7">
        <w:rPr>
          <w:rFonts w:ascii="Arial" w:hAnsi="Arial" w:cs="Arial"/>
          <w:color w:val="000000"/>
          <w:sz w:val="24"/>
          <w:szCs w:val="24"/>
        </w:rPr>
        <w:t>, 38.1% ± 27.4 Percent Excess Weight Loss (%EWL), and 3.5 ± 2.1 kg/m</w:t>
      </w:r>
      <w:r w:rsidR="00BC1EB3" w:rsidRPr="006145C7">
        <w:rPr>
          <w:rFonts w:ascii="Arial" w:hAnsi="Arial" w:cs="Arial"/>
          <w:color w:val="000000"/>
          <w:sz w:val="24"/>
          <w:szCs w:val="24"/>
          <w:vertAlign w:val="superscript"/>
        </w:rPr>
        <w:t>2</w:t>
      </w:r>
      <w:r w:rsidR="00BC1EB3" w:rsidRPr="006145C7">
        <w:rPr>
          <w:rFonts w:ascii="Arial" w:hAnsi="Arial" w:cs="Arial"/>
          <w:color w:val="000000"/>
          <w:sz w:val="24"/>
          <w:szCs w:val="24"/>
        </w:rPr>
        <w:t xml:space="preserve"> BMI change; while</w:t>
      </w:r>
      <w:r w:rsidR="00F27D9B" w:rsidRPr="006145C7">
        <w:rPr>
          <w:rFonts w:ascii="Arial" w:hAnsi="Arial" w:cs="Arial"/>
          <w:color w:val="000000"/>
          <w:sz w:val="24"/>
          <w:szCs w:val="24"/>
        </w:rPr>
        <w:t xml:space="preserve"> patients in the Completer cohort achieved 10.7% ± 6.1% TBWL</w:t>
      </w:r>
      <w:r w:rsidR="00BC1EB3" w:rsidRPr="006145C7">
        <w:rPr>
          <w:rFonts w:ascii="Arial" w:hAnsi="Arial" w:cs="Arial"/>
          <w:color w:val="000000"/>
          <w:sz w:val="24"/>
          <w:szCs w:val="24"/>
        </w:rPr>
        <w:t>, 40.0% ± 27.7% EWL, and 3.7 ± 2.1 BMI change.</w:t>
      </w:r>
      <w:r w:rsidR="001D3B5F">
        <w:rPr>
          <w:rFonts w:ascii="Arial" w:hAnsi="Arial" w:cs="Arial"/>
          <w:color w:val="000000"/>
          <w:sz w:val="24"/>
          <w:szCs w:val="24"/>
        </w:rPr>
        <w:t>In patients who</w:t>
      </w:r>
      <w:r w:rsidR="00084DF0" w:rsidRPr="006145C7">
        <w:rPr>
          <w:rFonts w:ascii="Arial" w:hAnsi="Arial" w:cs="Arial"/>
          <w:color w:val="000000"/>
          <w:sz w:val="24"/>
          <w:szCs w:val="24"/>
        </w:rPr>
        <w:t xml:space="preserve"> completed the 48 weeks visit, </w:t>
      </w:r>
      <w:r w:rsidR="0070172C" w:rsidRPr="006145C7">
        <w:rPr>
          <w:rFonts w:ascii="Arial" w:hAnsi="Arial" w:cs="Arial"/>
          <w:color w:val="000000"/>
          <w:sz w:val="24"/>
          <w:szCs w:val="24"/>
        </w:rPr>
        <w:t>the durability effectiveness cohort achieved 9.</w:t>
      </w:r>
      <w:r w:rsidR="00DE2A52" w:rsidRPr="006145C7">
        <w:rPr>
          <w:rFonts w:ascii="Arial" w:hAnsi="Arial" w:cs="Arial"/>
          <w:color w:val="000000"/>
          <w:sz w:val="24"/>
          <w:szCs w:val="24"/>
        </w:rPr>
        <w:t>2</w:t>
      </w:r>
      <w:r w:rsidR="0070172C" w:rsidRPr="006145C7">
        <w:rPr>
          <w:rFonts w:ascii="Arial" w:hAnsi="Arial" w:cs="Arial"/>
          <w:color w:val="000000"/>
          <w:sz w:val="24"/>
          <w:szCs w:val="24"/>
        </w:rPr>
        <w:t>% ± 7.</w:t>
      </w:r>
      <w:r w:rsidR="00DE2A52" w:rsidRPr="006145C7">
        <w:rPr>
          <w:rFonts w:ascii="Arial" w:hAnsi="Arial" w:cs="Arial"/>
          <w:color w:val="000000"/>
          <w:sz w:val="24"/>
          <w:szCs w:val="24"/>
        </w:rPr>
        <w:t>3</w:t>
      </w:r>
      <w:r w:rsidR="0070172C" w:rsidRPr="006145C7">
        <w:rPr>
          <w:rFonts w:ascii="Arial" w:hAnsi="Arial" w:cs="Arial"/>
          <w:color w:val="000000"/>
          <w:sz w:val="24"/>
          <w:szCs w:val="24"/>
        </w:rPr>
        <w:t>%</w:t>
      </w:r>
      <w:r w:rsidR="007062A8" w:rsidRPr="006145C7">
        <w:rPr>
          <w:rFonts w:ascii="Arial" w:hAnsi="Arial" w:cs="Arial"/>
          <w:color w:val="000000"/>
          <w:sz w:val="24"/>
          <w:szCs w:val="24"/>
        </w:rPr>
        <w:t xml:space="preserve"> TBWL</w:t>
      </w:r>
      <w:r w:rsidR="00BC1EB3" w:rsidRPr="006145C7">
        <w:rPr>
          <w:rFonts w:ascii="Arial" w:hAnsi="Arial" w:cs="Arial"/>
          <w:color w:val="000000"/>
          <w:sz w:val="24"/>
          <w:szCs w:val="24"/>
        </w:rPr>
        <w:t>, 35.0% ± 28.9% EWL, and 3.2 ± 2.6 BMI change</w:t>
      </w:r>
      <w:r w:rsidR="0070172C" w:rsidRPr="006145C7">
        <w:rPr>
          <w:rFonts w:ascii="Arial" w:hAnsi="Arial" w:cs="Arial"/>
          <w:color w:val="000000"/>
          <w:sz w:val="24"/>
          <w:szCs w:val="24"/>
        </w:rPr>
        <w:t xml:space="preserve">. </w:t>
      </w:r>
      <w:r w:rsidR="007062A8" w:rsidRPr="006145C7">
        <w:rPr>
          <w:rFonts w:ascii="Arial" w:hAnsi="Arial" w:cs="Arial"/>
          <w:color w:val="000000"/>
          <w:sz w:val="24"/>
          <w:szCs w:val="24"/>
        </w:rPr>
        <w:t xml:space="preserve"> The 5% TBWL Responder Rate for the mITT cohort was </w:t>
      </w:r>
      <w:r w:rsidR="004D4C84" w:rsidRPr="006145C7">
        <w:rPr>
          <w:rFonts w:ascii="Arial" w:hAnsi="Arial" w:cs="Arial"/>
          <w:color w:val="000000"/>
          <w:sz w:val="24"/>
          <w:szCs w:val="24"/>
        </w:rPr>
        <w:t>81</w:t>
      </w:r>
      <w:r w:rsidR="00DE2A52" w:rsidRPr="006145C7">
        <w:rPr>
          <w:rFonts w:ascii="Arial" w:hAnsi="Arial" w:cs="Arial"/>
          <w:color w:val="000000"/>
          <w:sz w:val="24"/>
          <w:szCs w:val="24"/>
        </w:rPr>
        <w:t>.0</w:t>
      </w:r>
      <w:r w:rsidR="007062A8" w:rsidRPr="006145C7">
        <w:rPr>
          <w:rFonts w:ascii="Arial" w:hAnsi="Arial" w:cs="Arial"/>
          <w:color w:val="000000"/>
          <w:sz w:val="24"/>
          <w:szCs w:val="24"/>
        </w:rPr>
        <w:t xml:space="preserve">% </w:t>
      </w:r>
      <w:r w:rsidR="007062A8" w:rsidRPr="006145C7">
        <w:rPr>
          <w:rFonts w:ascii="Arial" w:hAnsi="Arial" w:cs="Arial"/>
          <w:color w:val="000000"/>
          <w:sz w:val="24"/>
          <w:szCs w:val="24"/>
        </w:rPr>
        <w:lastRenderedPageBreak/>
        <w:t xml:space="preserve">and for the Completer cohort was </w:t>
      </w:r>
      <w:r w:rsidR="004D4C84" w:rsidRPr="006145C7">
        <w:rPr>
          <w:rFonts w:ascii="Arial" w:hAnsi="Arial" w:cs="Arial"/>
          <w:color w:val="000000"/>
          <w:sz w:val="24"/>
          <w:szCs w:val="24"/>
        </w:rPr>
        <w:t>84.3</w:t>
      </w:r>
      <w:r w:rsidR="007062A8" w:rsidRPr="006145C7">
        <w:rPr>
          <w:rFonts w:ascii="Arial" w:hAnsi="Arial" w:cs="Arial"/>
          <w:color w:val="000000"/>
          <w:sz w:val="24"/>
          <w:szCs w:val="24"/>
        </w:rPr>
        <w:t xml:space="preserve">%. The 10% TBWL Responder Rate for the mITT cohort was </w:t>
      </w:r>
      <w:r w:rsidR="004D4C84" w:rsidRPr="006145C7">
        <w:rPr>
          <w:rFonts w:ascii="Arial" w:hAnsi="Arial" w:cs="Arial"/>
          <w:color w:val="000000"/>
          <w:sz w:val="24"/>
          <w:szCs w:val="24"/>
        </w:rPr>
        <w:t>49.0</w:t>
      </w:r>
      <w:r w:rsidR="007062A8" w:rsidRPr="006145C7">
        <w:rPr>
          <w:rFonts w:ascii="Arial" w:hAnsi="Arial" w:cs="Arial"/>
          <w:color w:val="000000"/>
          <w:sz w:val="24"/>
          <w:szCs w:val="24"/>
        </w:rPr>
        <w:t xml:space="preserve">% and for the Completer cohort was </w:t>
      </w:r>
      <w:r w:rsidR="004D4C84" w:rsidRPr="006145C7">
        <w:rPr>
          <w:rFonts w:ascii="Arial" w:hAnsi="Arial" w:cs="Arial"/>
          <w:color w:val="000000"/>
          <w:sz w:val="24"/>
          <w:szCs w:val="24"/>
        </w:rPr>
        <w:t>51.7%</w:t>
      </w:r>
      <w:r w:rsidR="007062A8" w:rsidRPr="006145C7">
        <w:rPr>
          <w:rFonts w:ascii="Arial" w:hAnsi="Arial" w:cs="Arial"/>
          <w:color w:val="000000"/>
          <w:sz w:val="24"/>
          <w:szCs w:val="24"/>
        </w:rPr>
        <w:t>%.</w:t>
      </w:r>
    </w:p>
    <w:p w:rsidR="00BC49E4" w:rsidRDefault="00BC49E4" w:rsidP="0070172C">
      <w:pPr>
        <w:spacing w:line="480" w:lineRule="auto"/>
        <w:rPr>
          <w:rFonts w:ascii="Arial" w:hAnsi="Arial" w:cs="Arial"/>
          <w:color w:val="000000"/>
          <w:sz w:val="24"/>
          <w:szCs w:val="24"/>
        </w:rPr>
      </w:pPr>
      <w:r>
        <w:rPr>
          <w:rFonts w:ascii="Arial" w:hAnsi="Arial" w:cs="Arial"/>
          <w:color w:val="000000"/>
          <w:sz w:val="24"/>
          <w:szCs w:val="24"/>
        </w:rPr>
        <w:t>Predictors of Weight Loss</w:t>
      </w:r>
    </w:p>
    <w:p w:rsidR="00BC49E4" w:rsidRPr="006145C7" w:rsidRDefault="00BC49E4" w:rsidP="0070172C">
      <w:pPr>
        <w:spacing w:line="480" w:lineRule="auto"/>
        <w:rPr>
          <w:rFonts w:ascii="Arial" w:hAnsi="Arial" w:cs="Arial"/>
          <w:color w:val="000000"/>
          <w:sz w:val="24"/>
          <w:szCs w:val="24"/>
        </w:rPr>
      </w:pPr>
      <w:r>
        <w:rPr>
          <w:rFonts w:ascii="Arial" w:hAnsi="Arial" w:cs="Arial"/>
          <w:color w:val="000000"/>
          <w:sz w:val="24"/>
          <w:szCs w:val="24"/>
        </w:rPr>
        <w:tab/>
        <w:t>General linear regression was performed with the mITT cohort including all 100 patients who were successfully treated with the SIGBS. The summary of predictors of weight loss can</w:t>
      </w:r>
      <w:r w:rsidR="00882874">
        <w:rPr>
          <w:rFonts w:ascii="Arial" w:hAnsi="Arial" w:cs="Arial"/>
          <w:color w:val="000000"/>
          <w:sz w:val="24"/>
          <w:szCs w:val="24"/>
        </w:rPr>
        <w:t xml:space="preserve"> be seen in Table 2. The only positive predictor of weight loss was the number of </w:t>
      </w:r>
      <w:r w:rsidR="008859DE">
        <w:rPr>
          <w:rFonts w:ascii="Arial" w:hAnsi="Arial" w:cs="Arial"/>
          <w:color w:val="000000"/>
          <w:sz w:val="24"/>
          <w:szCs w:val="24"/>
        </w:rPr>
        <w:t xml:space="preserve">behavioral </w:t>
      </w:r>
      <w:r w:rsidR="00882874">
        <w:rPr>
          <w:rFonts w:ascii="Arial" w:hAnsi="Arial" w:cs="Arial"/>
          <w:color w:val="000000"/>
          <w:sz w:val="24"/>
          <w:szCs w:val="24"/>
        </w:rPr>
        <w:t xml:space="preserve">counseling sessions </w:t>
      </w:r>
      <w:r w:rsidR="003A7FE2">
        <w:rPr>
          <w:rFonts w:ascii="Arial" w:hAnsi="Arial" w:cs="Arial"/>
          <w:color w:val="000000"/>
          <w:sz w:val="24"/>
          <w:szCs w:val="24"/>
        </w:rPr>
        <w:t xml:space="preserve">attended in the first 6 months.  </w:t>
      </w:r>
      <w:r w:rsidR="00882874">
        <w:rPr>
          <w:rFonts w:ascii="Arial" w:hAnsi="Arial" w:cs="Arial"/>
          <w:color w:val="000000"/>
          <w:sz w:val="24"/>
          <w:szCs w:val="24"/>
        </w:rPr>
        <w:t xml:space="preserve">Only 2 patients received </w:t>
      </w:r>
      <w:r w:rsidR="00461E52">
        <w:rPr>
          <w:rFonts w:ascii="Arial" w:hAnsi="Arial" w:cs="Arial"/>
          <w:color w:val="000000"/>
          <w:sz w:val="24"/>
          <w:szCs w:val="24"/>
        </w:rPr>
        <w:t xml:space="preserve">exactly </w:t>
      </w:r>
      <w:r>
        <w:rPr>
          <w:rFonts w:ascii="Arial" w:hAnsi="Arial" w:cs="Arial"/>
          <w:color w:val="000000"/>
          <w:sz w:val="24"/>
          <w:szCs w:val="24"/>
        </w:rPr>
        <w:t>one balloon</w:t>
      </w:r>
      <w:r w:rsidR="008859DE">
        <w:rPr>
          <w:rFonts w:ascii="Arial" w:hAnsi="Arial" w:cs="Arial"/>
          <w:color w:val="000000"/>
          <w:sz w:val="24"/>
          <w:szCs w:val="24"/>
        </w:rPr>
        <w:t>, so although the β for multiple balloons was high at 5.76, it was not statistically significant (p=0.1771)</w:t>
      </w:r>
      <w:r w:rsidR="00461E52">
        <w:rPr>
          <w:rFonts w:ascii="Arial" w:hAnsi="Arial" w:cs="Arial"/>
          <w:color w:val="000000"/>
          <w:sz w:val="24"/>
          <w:szCs w:val="24"/>
        </w:rPr>
        <w:t xml:space="preserve"> due to the small sample size comparison</w:t>
      </w:r>
      <w:r w:rsidR="008859DE">
        <w:rPr>
          <w:rFonts w:ascii="Arial" w:hAnsi="Arial" w:cs="Arial"/>
          <w:color w:val="000000"/>
          <w:sz w:val="24"/>
          <w:szCs w:val="24"/>
        </w:rPr>
        <w:t xml:space="preserve">. </w:t>
      </w:r>
      <w:r w:rsidR="003854AC">
        <w:rPr>
          <w:rFonts w:ascii="Arial" w:hAnsi="Arial" w:cs="Arial"/>
          <w:color w:val="000000"/>
          <w:sz w:val="24"/>
          <w:szCs w:val="24"/>
        </w:rPr>
        <w:t xml:space="preserve">The only positive predictor of weight loss was number of </w:t>
      </w:r>
      <w:r w:rsidR="008859DE">
        <w:rPr>
          <w:rFonts w:ascii="Arial" w:hAnsi="Arial" w:cs="Arial"/>
          <w:color w:val="000000"/>
          <w:sz w:val="24"/>
          <w:szCs w:val="24"/>
        </w:rPr>
        <w:t xml:space="preserve">behavior </w:t>
      </w:r>
      <w:r w:rsidR="003854AC">
        <w:rPr>
          <w:rFonts w:ascii="Arial" w:hAnsi="Arial" w:cs="Arial"/>
          <w:color w:val="000000"/>
          <w:sz w:val="24"/>
          <w:szCs w:val="24"/>
        </w:rPr>
        <w:t>counseling sessions attended (</w:t>
      </w:r>
      <w:r w:rsidR="000047AB">
        <w:rPr>
          <w:rFonts w:ascii="Arial" w:hAnsi="Arial" w:cs="Arial"/>
          <w:color w:val="000000"/>
          <w:sz w:val="24"/>
          <w:szCs w:val="24"/>
        </w:rPr>
        <w:t>β 0.65, p=0.001</w:t>
      </w:r>
      <w:r w:rsidR="00461E52">
        <w:rPr>
          <w:rFonts w:ascii="Arial" w:hAnsi="Arial" w:cs="Arial"/>
          <w:color w:val="000000"/>
          <w:sz w:val="24"/>
          <w:szCs w:val="24"/>
        </w:rPr>
        <w:t>0</w:t>
      </w:r>
      <w:r w:rsidR="003854AC">
        <w:rPr>
          <w:rFonts w:ascii="Arial" w:hAnsi="Arial" w:cs="Arial"/>
          <w:color w:val="000000"/>
          <w:sz w:val="24"/>
          <w:szCs w:val="24"/>
        </w:rPr>
        <w:t>)</w:t>
      </w:r>
      <w:r w:rsidR="000047AB">
        <w:rPr>
          <w:rFonts w:ascii="Arial" w:hAnsi="Arial" w:cs="Arial"/>
          <w:color w:val="000000"/>
          <w:sz w:val="24"/>
          <w:szCs w:val="24"/>
        </w:rPr>
        <w:t xml:space="preserve"> while history of depression at the time of enrollment was a negative predictor of weight loss (β -5.78, p=0.0005)</w:t>
      </w:r>
    </w:p>
    <w:p w:rsidR="007062A8" w:rsidRPr="006145C7" w:rsidRDefault="007062A8" w:rsidP="0070172C">
      <w:pPr>
        <w:spacing w:line="480" w:lineRule="auto"/>
        <w:rPr>
          <w:rFonts w:ascii="Arial" w:hAnsi="Arial" w:cs="Arial"/>
          <w:color w:val="000000"/>
          <w:sz w:val="24"/>
          <w:szCs w:val="24"/>
        </w:rPr>
      </w:pPr>
      <w:r w:rsidRPr="006145C7">
        <w:rPr>
          <w:rFonts w:ascii="Arial" w:hAnsi="Arial" w:cs="Arial"/>
          <w:color w:val="000000"/>
          <w:sz w:val="24"/>
          <w:szCs w:val="24"/>
        </w:rPr>
        <w:t>Safety</w:t>
      </w:r>
    </w:p>
    <w:p w:rsidR="007062A8" w:rsidRPr="006145C7" w:rsidRDefault="007062A8" w:rsidP="0070172C">
      <w:pPr>
        <w:spacing w:line="480" w:lineRule="auto"/>
        <w:rPr>
          <w:rFonts w:ascii="Arial" w:hAnsi="Arial" w:cs="Arial"/>
          <w:color w:val="000000"/>
          <w:sz w:val="24"/>
          <w:szCs w:val="24"/>
        </w:rPr>
      </w:pPr>
      <w:r w:rsidRPr="006145C7">
        <w:rPr>
          <w:rFonts w:ascii="Arial" w:hAnsi="Arial" w:cs="Arial"/>
          <w:color w:val="000000"/>
          <w:sz w:val="24"/>
          <w:szCs w:val="24"/>
        </w:rPr>
        <w:tab/>
        <w:t xml:space="preserve">Data collection is ongoing for serious adverse events in the entire population of the post-market approval study.  No serious adverse events </w:t>
      </w:r>
      <w:r w:rsidR="003903B7" w:rsidRPr="006145C7">
        <w:rPr>
          <w:rFonts w:ascii="Arial" w:hAnsi="Arial" w:cs="Arial"/>
          <w:color w:val="000000"/>
          <w:sz w:val="24"/>
          <w:szCs w:val="24"/>
        </w:rPr>
        <w:t xml:space="preserve">related to the device or procedure </w:t>
      </w:r>
      <w:r w:rsidRPr="006145C7">
        <w:rPr>
          <w:rFonts w:ascii="Arial" w:hAnsi="Arial" w:cs="Arial"/>
          <w:color w:val="000000"/>
          <w:sz w:val="24"/>
          <w:szCs w:val="24"/>
        </w:rPr>
        <w:t>occurred in the first n=100 patients,</w:t>
      </w:r>
      <w:r w:rsidR="003903B7" w:rsidRPr="006145C7">
        <w:rPr>
          <w:rFonts w:ascii="Arial" w:hAnsi="Arial" w:cs="Arial"/>
          <w:color w:val="000000"/>
          <w:sz w:val="24"/>
          <w:szCs w:val="24"/>
        </w:rPr>
        <w:t xml:space="preserve"> and at the time of writing of this manuscript, no serious adverse events related to the device or procedure were seen in any patient enrolled in the study. However</w:t>
      </w:r>
      <w:r w:rsidRPr="006145C7">
        <w:rPr>
          <w:rFonts w:ascii="Arial" w:hAnsi="Arial" w:cs="Arial"/>
          <w:color w:val="000000"/>
          <w:sz w:val="24"/>
          <w:szCs w:val="24"/>
        </w:rPr>
        <w:t xml:space="preserve"> further analysis </w:t>
      </w:r>
      <w:r w:rsidR="005E71FB" w:rsidRPr="006145C7">
        <w:rPr>
          <w:rFonts w:ascii="Arial" w:hAnsi="Arial" w:cs="Arial"/>
          <w:color w:val="000000"/>
          <w:sz w:val="24"/>
          <w:szCs w:val="24"/>
        </w:rPr>
        <w:t xml:space="preserve">cannot be performed at this time. Non-serious adverse events occurred in </w:t>
      </w:r>
      <w:r w:rsidR="00875BEA" w:rsidRPr="006145C7">
        <w:rPr>
          <w:rFonts w:ascii="Arial" w:hAnsi="Arial" w:cs="Arial"/>
          <w:color w:val="000000"/>
          <w:sz w:val="24"/>
          <w:szCs w:val="24"/>
        </w:rPr>
        <w:t xml:space="preserve">86% of patients with 468 events.  The most common </w:t>
      </w:r>
      <w:r w:rsidR="009E2A34" w:rsidRPr="006145C7">
        <w:rPr>
          <w:rFonts w:ascii="Arial" w:hAnsi="Arial" w:cs="Arial"/>
          <w:color w:val="000000"/>
          <w:sz w:val="24"/>
          <w:szCs w:val="24"/>
        </w:rPr>
        <w:t xml:space="preserve">device or procedure </w:t>
      </w:r>
      <w:r w:rsidR="00875BEA" w:rsidRPr="006145C7">
        <w:rPr>
          <w:rFonts w:ascii="Arial" w:hAnsi="Arial" w:cs="Arial"/>
          <w:color w:val="000000"/>
          <w:sz w:val="24"/>
          <w:szCs w:val="24"/>
        </w:rPr>
        <w:t>non-serious adve</w:t>
      </w:r>
      <w:r w:rsidR="009E2A34" w:rsidRPr="006145C7">
        <w:rPr>
          <w:rFonts w:ascii="Arial" w:hAnsi="Arial" w:cs="Arial"/>
          <w:color w:val="000000"/>
          <w:sz w:val="24"/>
          <w:szCs w:val="24"/>
        </w:rPr>
        <w:t>rse events</w:t>
      </w:r>
      <w:r w:rsidR="0021232B" w:rsidRPr="006145C7">
        <w:rPr>
          <w:rFonts w:ascii="Arial" w:hAnsi="Arial" w:cs="Arial"/>
          <w:color w:val="000000"/>
          <w:sz w:val="24"/>
          <w:szCs w:val="24"/>
        </w:rPr>
        <w:t xml:space="preserve"> in patients</w:t>
      </w:r>
      <w:r w:rsidR="009E2A34" w:rsidRPr="006145C7">
        <w:rPr>
          <w:rFonts w:ascii="Arial" w:hAnsi="Arial" w:cs="Arial"/>
          <w:color w:val="000000"/>
          <w:sz w:val="24"/>
          <w:szCs w:val="24"/>
        </w:rPr>
        <w:t xml:space="preserve"> included nausea (79%), retching (49%), vomiting (40%), abdominal pain (23%), dyspepsia defined as dyspepsia and reflux (8%) (Table 2). </w:t>
      </w:r>
      <w:r w:rsidR="00230726" w:rsidRPr="006145C7">
        <w:rPr>
          <w:rFonts w:ascii="Arial" w:hAnsi="Arial" w:cs="Arial"/>
          <w:color w:val="000000"/>
          <w:sz w:val="24"/>
          <w:szCs w:val="24"/>
        </w:rPr>
        <w:t xml:space="preserve">None of the non-serious adverse </w:t>
      </w:r>
      <w:r w:rsidR="00230726" w:rsidRPr="006145C7">
        <w:rPr>
          <w:rFonts w:ascii="Arial" w:hAnsi="Arial" w:cs="Arial"/>
          <w:color w:val="000000"/>
          <w:sz w:val="24"/>
          <w:szCs w:val="24"/>
        </w:rPr>
        <w:lastRenderedPageBreak/>
        <w:t xml:space="preserve">events were rated as severe, and 91.2% were rated asymptomatic or mild. </w:t>
      </w:r>
      <w:r w:rsidR="009E2A34" w:rsidRPr="006145C7">
        <w:rPr>
          <w:rFonts w:ascii="Arial" w:hAnsi="Arial" w:cs="Arial"/>
          <w:color w:val="000000"/>
          <w:sz w:val="24"/>
          <w:szCs w:val="24"/>
        </w:rPr>
        <w:t>Of note, individual events of nausea, retching, or vomiting could be reported on both the Rhodes Index and directly to the study team during visits</w:t>
      </w:r>
      <w:r w:rsidR="003903B7" w:rsidRPr="006145C7">
        <w:rPr>
          <w:rFonts w:ascii="Arial" w:hAnsi="Arial" w:cs="Arial"/>
          <w:color w:val="000000"/>
          <w:sz w:val="24"/>
          <w:szCs w:val="24"/>
        </w:rPr>
        <w:t>, leading to two reports of one incidence</w:t>
      </w:r>
      <w:r w:rsidR="009E2A34" w:rsidRPr="006145C7">
        <w:rPr>
          <w:rFonts w:ascii="Arial" w:hAnsi="Arial" w:cs="Arial"/>
          <w:color w:val="000000"/>
          <w:sz w:val="24"/>
          <w:szCs w:val="24"/>
        </w:rPr>
        <w:t xml:space="preserve">. Therefore, an unknown </w:t>
      </w:r>
      <w:r w:rsidR="003903B7" w:rsidRPr="006145C7">
        <w:rPr>
          <w:rFonts w:ascii="Arial" w:hAnsi="Arial" w:cs="Arial"/>
          <w:color w:val="000000"/>
          <w:sz w:val="24"/>
          <w:szCs w:val="24"/>
        </w:rPr>
        <w:t>number of</w:t>
      </w:r>
      <w:r w:rsidR="0010636A">
        <w:rPr>
          <w:rFonts w:ascii="Arial" w:hAnsi="Arial" w:cs="Arial"/>
          <w:color w:val="000000"/>
          <w:sz w:val="24"/>
          <w:szCs w:val="24"/>
        </w:rPr>
        <w:t xml:space="preserve"> </w:t>
      </w:r>
      <w:r w:rsidR="003903B7" w:rsidRPr="006145C7">
        <w:rPr>
          <w:rFonts w:ascii="Arial" w:hAnsi="Arial" w:cs="Arial"/>
          <w:color w:val="000000"/>
          <w:sz w:val="24"/>
          <w:szCs w:val="24"/>
        </w:rPr>
        <w:t>individual</w:t>
      </w:r>
      <w:r w:rsidR="009E2A34" w:rsidRPr="006145C7">
        <w:rPr>
          <w:rFonts w:ascii="Arial" w:hAnsi="Arial" w:cs="Arial"/>
          <w:color w:val="000000"/>
          <w:sz w:val="24"/>
          <w:szCs w:val="24"/>
        </w:rPr>
        <w:t xml:space="preserve"> events were counted twice</w:t>
      </w:r>
      <w:r w:rsidR="003903B7" w:rsidRPr="006145C7">
        <w:rPr>
          <w:rFonts w:ascii="Arial" w:hAnsi="Arial" w:cs="Arial"/>
          <w:color w:val="000000"/>
          <w:sz w:val="24"/>
          <w:szCs w:val="24"/>
        </w:rPr>
        <w:t>, raising the overall number of adverse events</w:t>
      </w:r>
      <w:r w:rsidR="009E2A34" w:rsidRPr="006145C7">
        <w:rPr>
          <w:rFonts w:ascii="Arial" w:hAnsi="Arial" w:cs="Arial"/>
          <w:color w:val="000000"/>
          <w:sz w:val="24"/>
          <w:szCs w:val="24"/>
        </w:rPr>
        <w:t>.</w:t>
      </w:r>
      <w:r w:rsidR="003903B7" w:rsidRPr="006145C7">
        <w:rPr>
          <w:rFonts w:ascii="Arial" w:hAnsi="Arial" w:cs="Arial"/>
          <w:color w:val="000000"/>
          <w:sz w:val="24"/>
          <w:szCs w:val="24"/>
        </w:rPr>
        <w:t xml:space="preserve"> However, the percentage of patients who experienced any adverse event was not affected.</w:t>
      </w:r>
      <w:r w:rsidR="0010636A">
        <w:rPr>
          <w:rFonts w:ascii="Arial" w:hAnsi="Arial" w:cs="Arial"/>
          <w:color w:val="000000"/>
          <w:sz w:val="24"/>
          <w:szCs w:val="24"/>
        </w:rPr>
        <w:t xml:space="preserve"> </w:t>
      </w:r>
      <w:r w:rsidR="00691FCD" w:rsidRPr="006145C7">
        <w:rPr>
          <w:rFonts w:ascii="Arial" w:hAnsi="Arial" w:cs="Arial"/>
          <w:color w:val="000000"/>
          <w:sz w:val="24"/>
          <w:szCs w:val="24"/>
        </w:rPr>
        <w:t>One deflation occurred</w:t>
      </w:r>
      <w:r w:rsidR="0010636A">
        <w:rPr>
          <w:rFonts w:ascii="Arial" w:hAnsi="Arial" w:cs="Arial"/>
          <w:color w:val="000000"/>
          <w:sz w:val="24"/>
          <w:szCs w:val="24"/>
        </w:rPr>
        <w:t xml:space="preserve"> </w:t>
      </w:r>
      <w:r w:rsidR="006E1234" w:rsidRPr="006145C7">
        <w:rPr>
          <w:rFonts w:ascii="Arial" w:hAnsi="Arial" w:cs="Arial"/>
          <w:color w:val="000000"/>
          <w:sz w:val="24"/>
          <w:szCs w:val="24"/>
        </w:rPr>
        <w:t>out of 284</w:t>
      </w:r>
      <w:r w:rsidR="003F243C" w:rsidRPr="006145C7">
        <w:rPr>
          <w:rFonts w:ascii="Arial" w:hAnsi="Arial" w:cs="Arial"/>
          <w:color w:val="000000"/>
          <w:sz w:val="24"/>
          <w:szCs w:val="24"/>
        </w:rPr>
        <w:t xml:space="preserve"> balloons placed</w:t>
      </w:r>
      <w:r w:rsidR="006E1234" w:rsidRPr="006145C7">
        <w:rPr>
          <w:rFonts w:ascii="Arial" w:hAnsi="Arial" w:cs="Arial"/>
          <w:color w:val="000000"/>
          <w:sz w:val="24"/>
          <w:szCs w:val="24"/>
        </w:rPr>
        <w:t>, but passed out of the GI tract without sequela and was diagnosed upon scheduled removal when only two balloons were present in the stomach</w:t>
      </w:r>
      <w:r w:rsidR="00691FCD" w:rsidRPr="006145C7">
        <w:rPr>
          <w:rFonts w:ascii="Arial" w:hAnsi="Arial" w:cs="Arial"/>
          <w:color w:val="000000"/>
          <w:sz w:val="24"/>
          <w:szCs w:val="24"/>
        </w:rPr>
        <w:t xml:space="preserve"> of a patient who had three balloons administered</w:t>
      </w:r>
      <w:r w:rsidR="006E1234" w:rsidRPr="006145C7">
        <w:rPr>
          <w:rFonts w:ascii="Arial" w:hAnsi="Arial" w:cs="Arial"/>
          <w:color w:val="000000"/>
          <w:sz w:val="24"/>
          <w:szCs w:val="24"/>
        </w:rPr>
        <w:t>.</w:t>
      </w:r>
    </w:p>
    <w:p w:rsidR="004A6C8E" w:rsidRPr="006145C7" w:rsidRDefault="0021232B" w:rsidP="0047708B">
      <w:pPr>
        <w:spacing w:line="480" w:lineRule="auto"/>
        <w:rPr>
          <w:rFonts w:ascii="Arial" w:hAnsi="Arial" w:cs="Arial"/>
          <w:b/>
          <w:sz w:val="24"/>
          <w:szCs w:val="24"/>
        </w:rPr>
      </w:pPr>
      <w:r w:rsidRPr="006145C7">
        <w:rPr>
          <w:rFonts w:ascii="Arial" w:hAnsi="Arial" w:cs="Arial"/>
          <w:b/>
          <w:sz w:val="24"/>
          <w:szCs w:val="24"/>
        </w:rPr>
        <w:t>Discussion</w:t>
      </w:r>
    </w:p>
    <w:p w:rsidR="007710C0" w:rsidRPr="006145C7" w:rsidRDefault="007710C0" w:rsidP="00230726">
      <w:pPr>
        <w:spacing w:line="480" w:lineRule="auto"/>
        <w:ind w:firstLine="720"/>
        <w:rPr>
          <w:rFonts w:ascii="Arial" w:hAnsi="Arial" w:cs="Arial"/>
          <w:sz w:val="24"/>
          <w:szCs w:val="24"/>
        </w:rPr>
      </w:pPr>
      <w:r w:rsidRPr="006145C7">
        <w:rPr>
          <w:rFonts w:ascii="Arial" w:hAnsi="Arial" w:cs="Arial"/>
          <w:sz w:val="24"/>
          <w:szCs w:val="24"/>
        </w:rPr>
        <w:t>In this interim analysis of the SGIBS post-market approval study, an open-label single arm study, we found that weight loss was consistent with weight loss seen in patients from the SGIBS prospective patient registry, the largest known US registry of an endoscopic bariatric therapy to date</w:t>
      </w:r>
      <w:r w:rsidR="0066364F" w:rsidRPr="0066364F">
        <w:rPr>
          <w:rFonts w:ascii="Arial" w:hAnsi="Arial" w:cs="Arial"/>
          <w:noProof/>
          <w:sz w:val="24"/>
          <w:szCs w:val="24"/>
          <w:vertAlign w:val="superscript"/>
        </w:rPr>
        <w:t>5</w:t>
      </w:r>
      <w:r w:rsidR="00230726" w:rsidRPr="006145C7">
        <w:rPr>
          <w:rFonts w:ascii="Arial" w:hAnsi="Arial" w:cs="Arial"/>
          <w:sz w:val="24"/>
          <w:szCs w:val="24"/>
        </w:rPr>
        <w:t>. In addition</w:t>
      </w:r>
      <w:r w:rsidR="008859DE">
        <w:rPr>
          <w:rFonts w:ascii="Arial" w:hAnsi="Arial" w:cs="Arial"/>
          <w:sz w:val="24"/>
          <w:szCs w:val="24"/>
        </w:rPr>
        <w:t>, the number of behavioral counselling sessions attended was a positive predictor of weight loss success and a history of depression was a negative predictor.  The</w:t>
      </w:r>
      <w:r w:rsidR="00230726" w:rsidRPr="006145C7">
        <w:rPr>
          <w:rFonts w:ascii="Arial" w:hAnsi="Arial" w:cs="Arial"/>
          <w:sz w:val="24"/>
          <w:szCs w:val="24"/>
        </w:rPr>
        <w:t xml:space="preserve"> high safety profile of the SGIBS was again demonstrated with no device or procedure related serious adverse events reported in the first 100 patients or any patient currently enrolled</w:t>
      </w:r>
      <w:r w:rsidR="002614DF" w:rsidRPr="006145C7">
        <w:rPr>
          <w:rFonts w:ascii="Arial" w:hAnsi="Arial" w:cs="Arial"/>
          <w:sz w:val="24"/>
          <w:szCs w:val="24"/>
        </w:rPr>
        <w:t>, consistent with both the US registry and the US pivotal trial</w:t>
      </w:r>
      <w:r w:rsidR="0066364F" w:rsidRPr="0066364F">
        <w:rPr>
          <w:rFonts w:ascii="Arial" w:hAnsi="Arial" w:cs="Arial"/>
          <w:noProof/>
          <w:sz w:val="24"/>
          <w:szCs w:val="24"/>
          <w:vertAlign w:val="superscript"/>
        </w:rPr>
        <w:t>5,6</w:t>
      </w:r>
      <w:r w:rsidR="002614DF" w:rsidRPr="006145C7">
        <w:rPr>
          <w:rFonts w:ascii="Arial" w:hAnsi="Arial" w:cs="Arial"/>
          <w:sz w:val="24"/>
          <w:szCs w:val="24"/>
        </w:rPr>
        <w:t>. The current</w:t>
      </w:r>
      <w:r w:rsidR="00230726" w:rsidRPr="006145C7">
        <w:rPr>
          <w:rFonts w:ascii="Arial" w:hAnsi="Arial" w:cs="Arial"/>
          <w:sz w:val="24"/>
          <w:szCs w:val="24"/>
        </w:rPr>
        <w:t xml:space="preserve"> analysis also includes 1 year</w:t>
      </w:r>
      <w:r w:rsidR="002614DF" w:rsidRPr="006145C7">
        <w:rPr>
          <w:rFonts w:ascii="Arial" w:hAnsi="Arial" w:cs="Arial"/>
          <w:sz w:val="24"/>
          <w:szCs w:val="24"/>
        </w:rPr>
        <w:t xml:space="preserve"> weigh</w:t>
      </w:r>
      <w:r w:rsidR="008859DE">
        <w:rPr>
          <w:rFonts w:ascii="Arial" w:hAnsi="Arial" w:cs="Arial"/>
          <w:sz w:val="24"/>
          <w:szCs w:val="24"/>
        </w:rPr>
        <w:t xml:space="preserve">t loss maintenance data, which </w:t>
      </w:r>
      <w:r w:rsidR="002614DF" w:rsidRPr="006145C7">
        <w:rPr>
          <w:rFonts w:ascii="Arial" w:hAnsi="Arial" w:cs="Arial"/>
          <w:sz w:val="24"/>
          <w:szCs w:val="24"/>
        </w:rPr>
        <w:t>demonstrates a high percentage of weight loss maintenance, consistent with the US pivotal trial</w:t>
      </w:r>
      <w:r w:rsidR="0066364F" w:rsidRPr="0066364F">
        <w:rPr>
          <w:rFonts w:ascii="Arial" w:hAnsi="Arial" w:cs="Arial"/>
          <w:noProof/>
          <w:sz w:val="24"/>
          <w:szCs w:val="24"/>
          <w:vertAlign w:val="superscript"/>
        </w:rPr>
        <w:t>6</w:t>
      </w:r>
      <w:r w:rsidR="002614DF" w:rsidRPr="006145C7">
        <w:rPr>
          <w:rFonts w:ascii="Arial" w:hAnsi="Arial" w:cs="Arial"/>
          <w:sz w:val="24"/>
          <w:szCs w:val="24"/>
        </w:rPr>
        <w:t>.</w:t>
      </w:r>
    </w:p>
    <w:p w:rsidR="0035406D" w:rsidRPr="006145C7" w:rsidRDefault="0035406D" w:rsidP="00230726">
      <w:pPr>
        <w:spacing w:line="480" w:lineRule="auto"/>
        <w:ind w:firstLine="720"/>
        <w:rPr>
          <w:rFonts w:ascii="Arial" w:hAnsi="Arial" w:cs="Arial"/>
          <w:sz w:val="24"/>
          <w:szCs w:val="24"/>
        </w:rPr>
      </w:pPr>
      <w:r w:rsidRPr="006145C7">
        <w:rPr>
          <w:rFonts w:ascii="Arial" w:hAnsi="Arial" w:cs="Arial"/>
          <w:sz w:val="24"/>
          <w:szCs w:val="24"/>
        </w:rPr>
        <w:t xml:space="preserve">The weight loss achieved in </w:t>
      </w:r>
      <w:r w:rsidR="00AB130C" w:rsidRPr="006145C7">
        <w:rPr>
          <w:rFonts w:ascii="Arial" w:hAnsi="Arial" w:cs="Arial"/>
          <w:sz w:val="24"/>
          <w:szCs w:val="24"/>
        </w:rPr>
        <w:t xml:space="preserve">this open label evaluation of the SIGBS </w:t>
      </w:r>
      <w:r w:rsidRPr="006145C7">
        <w:rPr>
          <w:rFonts w:ascii="Arial" w:hAnsi="Arial" w:cs="Arial"/>
          <w:sz w:val="24"/>
          <w:szCs w:val="24"/>
        </w:rPr>
        <w:t xml:space="preserve">is higher that the weight loss achieved in the US pivotal trial which was a randomized sham controlled </w:t>
      </w:r>
      <w:r w:rsidRPr="006145C7">
        <w:rPr>
          <w:rFonts w:ascii="Arial" w:hAnsi="Arial" w:cs="Arial"/>
          <w:sz w:val="24"/>
          <w:szCs w:val="24"/>
        </w:rPr>
        <w:lastRenderedPageBreak/>
        <w:t>trial</w:t>
      </w:r>
      <w:r w:rsidR="0066364F" w:rsidRPr="0066364F">
        <w:rPr>
          <w:rFonts w:ascii="Arial" w:hAnsi="Arial" w:cs="Arial"/>
          <w:noProof/>
          <w:sz w:val="24"/>
          <w:szCs w:val="24"/>
          <w:vertAlign w:val="superscript"/>
        </w:rPr>
        <w:t>6</w:t>
      </w:r>
      <w:r w:rsidRPr="006145C7">
        <w:rPr>
          <w:rFonts w:ascii="Arial" w:hAnsi="Arial" w:cs="Arial"/>
          <w:sz w:val="24"/>
          <w:szCs w:val="24"/>
        </w:rPr>
        <w:t xml:space="preserve">. </w:t>
      </w:r>
      <w:r w:rsidR="00AB130C" w:rsidRPr="006145C7">
        <w:rPr>
          <w:rFonts w:ascii="Arial" w:hAnsi="Arial" w:cs="Arial"/>
          <w:sz w:val="24"/>
          <w:szCs w:val="24"/>
        </w:rPr>
        <w:t xml:space="preserve">Lower weight loss in patients who are blinded to their treatment status has been a consistent finding in endoscopic bariatric therapies. </w:t>
      </w:r>
      <w:r w:rsidRPr="006145C7">
        <w:rPr>
          <w:rFonts w:ascii="Arial" w:hAnsi="Arial" w:cs="Arial"/>
          <w:sz w:val="24"/>
          <w:szCs w:val="24"/>
        </w:rPr>
        <w:t>In</w:t>
      </w:r>
      <w:r w:rsidR="00BC7BC3" w:rsidRPr="006145C7">
        <w:rPr>
          <w:rFonts w:ascii="Arial" w:hAnsi="Arial" w:cs="Arial"/>
          <w:sz w:val="24"/>
          <w:szCs w:val="24"/>
        </w:rPr>
        <w:t xml:space="preserve"> a </w:t>
      </w:r>
      <w:r w:rsidRPr="006145C7">
        <w:rPr>
          <w:rFonts w:ascii="Arial" w:hAnsi="Arial" w:cs="Arial"/>
          <w:sz w:val="24"/>
          <w:szCs w:val="24"/>
        </w:rPr>
        <w:t>direct comparison of open label to randomized patients in a randomized sham-controlled study with an unblind</w:t>
      </w:r>
      <w:r w:rsidR="00DA5BBC" w:rsidRPr="006145C7">
        <w:rPr>
          <w:rFonts w:ascii="Arial" w:hAnsi="Arial" w:cs="Arial"/>
          <w:sz w:val="24"/>
          <w:szCs w:val="24"/>
        </w:rPr>
        <w:t>ed</w:t>
      </w:r>
      <w:r w:rsidRPr="006145C7">
        <w:rPr>
          <w:rFonts w:ascii="Arial" w:hAnsi="Arial" w:cs="Arial"/>
          <w:sz w:val="24"/>
          <w:szCs w:val="24"/>
        </w:rPr>
        <w:t xml:space="preserve"> lead-in group, </w:t>
      </w:r>
      <w:r w:rsidR="00DA5BBC" w:rsidRPr="006145C7">
        <w:rPr>
          <w:rFonts w:ascii="Arial" w:hAnsi="Arial" w:cs="Arial"/>
          <w:sz w:val="24"/>
          <w:szCs w:val="24"/>
        </w:rPr>
        <w:t xml:space="preserve">patients in the lead-in group achieved 40% more weight than patients in the randomized active group who were unaware of their study </w:t>
      </w:r>
      <w:r w:rsidR="007A7CA9" w:rsidRPr="006145C7">
        <w:rPr>
          <w:rFonts w:ascii="Arial" w:hAnsi="Arial" w:cs="Arial"/>
          <w:sz w:val="24"/>
          <w:szCs w:val="24"/>
        </w:rPr>
        <w:t xml:space="preserve">assignment </w:t>
      </w:r>
      <w:r w:rsidR="0066364F" w:rsidRPr="0066364F">
        <w:rPr>
          <w:rFonts w:ascii="Arial" w:hAnsi="Arial" w:cs="Arial"/>
          <w:noProof/>
          <w:sz w:val="24"/>
          <w:szCs w:val="24"/>
          <w:vertAlign w:val="superscript"/>
        </w:rPr>
        <w:t>11</w:t>
      </w:r>
      <w:r w:rsidR="003D3021" w:rsidRPr="006145C7">
        <w:rPr>
          <w:rFonts w:ascii="Arial" w:hAnsi="Arial" w:cs="Arial"/>
          <w:sz w:val="24"/>
          <w:szCs w:val="24"/>
        </w:rPr>
        <w:t xml:space="preserve">. </w:t>
      </w:r>
      <w:r w:rsidR="00BC7BC3" w:rsidRPr="006145C7">
        <w:rPr>
          <w:rFonts w:ascii="Arial" w:hAnsi="Arial" w:cs="Arial"/>
          <w:sz w:val="24"/>
          <w:szCs w:val="24"/>
        </w:rPr>
        <w:t>In concordance with that data, w</w:t>
      </w:r>
      <w:r w:rsidR="00F15C27" w:rsidRPr="006145C7">
        <w:rPr>
          <w:rFonts w:ascii="Arial" w:hAnsi="Arial" w:cs="Arial"/>
          <w:sz w:val="24"/>
          <w:szCs w:val="24"/>
        </w:rPr>
        <w:t>eight loss in both</w:t>
      </w:r>
      <w:r w:rsidR="00BC7BC3" w:rsidRPr="006145C7">
        <w:rPr>
          <w:rFonts w:ascii="Arial" w:hAnsi="Arial" w:cs="Arial"/>
          <w:sz w:val="24"/>
          <w:szCs w:val="24"/>
        </w:rPr>
        <w:t xml:space="preserve"> clinical case series of IGBs that underwent randomized sham controlled studies in the US also demonstrated roughly 40-50% more weight loss in the open label clinical case series than the </w:t>
      </w:r>
      <w:r w:rsidR="00F15C27" w:rsidRPr="006145C7">
        <w:rPr>
          <w:rFonts w:ascii="Arial" w:hAnsi="Arial" w:cs="Arial"/>
          <w:sz w:val="24"/>
          <w:szCs w:val="24"/>
        </w:rPr>
        <w:t xml:space="preserve"> US multi-center randomized sham-controlled </w:t>
      </w:r>
      <w:r w:rsidR="00BC7BC3" w:rsidRPr="006145C7">
        <w:rPr>
          <w:rFonts w:ascii="Arial" w:hAnsi="Arial" w:cs="Arial"/>
          <w:sz w:val="24"/>
          <w:szCs w:val="24"/>
        </w:rPr>
        <w:t xml:space="preserve">trials </w:t>
      </w:r>
      <w:r w:rsidR="0066364F" w:rsidRPr="0066364F">
        <w:rPr>
          <w:rFonts w:ascii="Arial" w:hAnsi="Arial" w:cs="Arial"/>
          <w:noProof/>
          <w:sz w:val="24"/>
          <w:szCs w:val="24"/>
          <w:vertAlign w:val="superscript"/>
        </w:rPr>
        <w:t>5,6,12,13</w:t>
      </w:r>
      <w:r w:rsidR="00AB130C" w:rsidRPr="006145C7">
        <w:rPr>
          <w:rFonts w:ascii="Arial" w:hAnsi="Arial" w:cs="Arial"/>
          <w:sz w:val="24"/>
          <w:szCs w:val="24"/>
        </w:rPr>
        <w:t xml:space="preserve">. </w:t>
      </w:r>
    </w:p>
    <w:p w:rsidR="008859DE" w:rsidRDefault="008859DE" w:rsidP="00230726">
      <w:pPr>
        <w:spacing w:line="480" w:lineRule="auto"/>
        <w:ind w:firstLine="720"/>
        <w:rPr>
          <w:rFonts w:ascii="Arial" w:hAnsi="Arial" w:cs="Arial"/>
          <w:sz w:val="24"/>
          <w:szCs w:val="24"/>
        </w:rPr>
      </w:pPr>
      <w:r>
        <w:rPr>
          <w:rFonts w:ascii="Arial" w:hAnsi="Arial" w:cs="Arial"/>
          <w:sz w:val="24"/>
          <w:szCs w:val="24"/>
        </w:rPr>
        <w:t>The predictors of success for weight loss seen in this trial are similar to that seen in a retrospective registry series of a single fluid filled balloon in US adults, which demonstrated similar β for follow-up visits between 0 and 6 months as this study (0.4, p=0.024), but did not find a significant correlation with depression (β -1.47, p=0.17)</w:t>
      </w:r>
      <w:r w:rsidR="007964FD" w:rsidRPr="007964FD">
        <w:rPr>
          <w:rFonts w:ascii="Arial" w:hAnsi="Arial" w:cs="Arial"/>
          <w:noProof/>
          <w:sz w:val="24"/>
          <w:szCs w:val="24"/>
          <w:vertAlign w:val="superscript"/>
        </w:rPr>
        <w:t>14</w:t>
      </w:r>
      <w:r w:rsidR="007964FD">
        <w:rPr>
          <w:rFonts w:ascii="Arial" w:hAnsi="Arial" w:cs="Arial"/>
          <w:sz w:val="24"/>
          <w:szCs w:val="24"/>
        </w:rPr>
        <w:t>.  Our finding of number of lifestyle therapy session as a p</w:t>
      </w:r>
      <w:r w:rsidR="00183AEF">
        <w:rPr>
          <w:rFonts w:ascii="Arial" w:hAnsi="Arial" w:cs="Arial"/>
          <w:sz w:val="24"/>
          <w:szCs w:val="24"/>
        </w:rPr>
        <w:t>redictor of weight loss is also consistent with data from</w:t>
      </w:r>
      <w:r w:rsidR="00576967">
        <w:rPr>
          <w:rFonts w:ascii="Arial" w:hAnsi="Arial" w:cs="Arial"/>
          <w:sz w:val="24"/>
          <w:szCs w:val="24"/>
        </w:rPr>
        <w:t xml:space="preserve"> lifestyle therapy or diet studies</w:t>
      </w:r>
      <w:r w:rsidR="00BB05F8" w:rsidRPr="00BB05F8">
        <w:rPr>
          <w:rFonts w:ascii="Arial" w:hAnsi="Arial" w:cs="Arial"/>
          <w:noProof/>
          <w:sz w:val="24"/>
          <w:szCs w:val="24"/>
          <w:vertAlign w:val="superscript"/>
        </w:rPr>
        <w:t>15-17</w:t>
      </w:r>
      <w:r w:rsidR="00576967">
        <w:rPr>
          <w:rFonts w:ascii="Arial" w:hAnsi="Arial" w:cs="Arial"/>
          <w:sz w:val="24"/>
          <w:szCs w:val="24"/>
        </w:rPr>
        <w:t xml:space="preserve"> and medications</w:t>
      </w:r>
      <w:r w:rsidR="00183AEF" w:rsidRPr="00183AEF">
        <w:rPr>
          <w:rFonts w:ascii="Arial" w:hAnsi="Arial" w:cs="Arial"/>
          <w:noProof/>
          <w:sz w:val="24"/>
          <w:szCs w:val="24"/>
          <w:vertAlign w:val="superscript"/>
        </w:rPr>
        <w:t>18,19</w:t>
      </w:r>
      <w:r w:rsidR="00183AEF">
        <w:rPr>
          <w:rFonts w:ascii="Arial" w:hAnsi="Arial" w:cs="Arial"/>
          <w:sz w:val="24"/>
          <w:szCs w:val="24"/>
        </w:rPr>
        <w:t xml:space="preserve">.  </w:t>
      </w:r>
      <w:r w:rsidR="006B7483">
        <w:rPr>
          <w:rFonts w:ascii="Arial" w:hAnsi="Arial" w:cs="Arial"/>
          <w:sz w:val="24"/>
          <w:szCs w:val="24"/>
        </w:rPr>
        <w:t>Depression has been shown to be more prevalent among patients with obesity</w:t>
      </w:r>
      <w:r w:rsidR="006B7483" w:rsidRPr="006B7483">
        <w:rPr>
          <w:rFonts w:ascii="Arial" w:hAnsi="Arial" w:cs="Arial"/>
          <w:noProof/>
          <w:sz w:val="24"/>
          <w:szCs w:val="24"/>
          <w:vertAlign w:val="superscript"/>
        </w:rPr>
        <w:t>20</w:t>
      </w:r>
      <w:r w:rsidR="006B7483">
        <w:rPr>
          <w:rFonts w:ascii="Arial" w:hAnsi="Arial" w:cs="Arial"/>
          <w:sz w:val="24"/>
          <w:szCs w:val="24"/>
        </w:rPr>
        <w:t>, but a recent meta-analysis did not find an association between pre-operative depression and post-operative weight loss in a bariatric surgery population</w:t>
      </w:r>
      <w:r w:rsidR="006B7483" w:rsidRPr="006B7483">
        <w:rPr>
          <w:rFonts w:ascii="Arial" w:hAnsi="Arial" w:cs="Arial"/>
          <w:noProof/>
          <w:sz w:val="24"/>
          <w:szCs w:val="24"/>
          <w:vertAlign w:val="superscript"/>
        </w:rPr>
        <w:t>21</w:t>
      </w:r>
      <w:r w:rsidR="006B7483">
        <w:rPr>
          <w:rFonts w:ascii="Arial" w:hAnsi="Arial" w:cs="Arial"/>
          <w:sz w:val="24"/>
          <w:szCs w:val="24"/>
        </w:rPr>
        <w:t>.  It is unclear why depression was a strong negative predictor of weight loss in this study, but suggests that integration of depression and obesity treatment in patients with baseline depression may improve weight loss with the SIGBS as seen in with lifestyle therapy alone</w:t>
      </w:r>
      <w:r w:rsidR="006B7483" w:rsidRPr="006B7483">
        <w:rPr>
          <w:rFonts w:ascii="Arial" w:hAnsi="Arial" w:cs="Arial"/>
          <w:noProof/>
          <w:sz w:val="24"/>
          <w:szCs w:val="24"/>
          <w:vertAlign w:val="superscript"/>
        </w:rPr>
        <w:t>22</w:t>
      </w:r>
      <w:r w:rsidR="006B7483">
        <w:rPr>
          <w:rFonts w:ascii="Arial" w:hAnsi="Arial" w:cs="Arial"/>
          <w:sz w:val="24"/>
          <w:szCs w:val="24"/>
        </w:rPr>
        <w:t>.</w:t>
      </w:r>
    </w:p>
    <w:p w:rsidR="008669FE" w:rsidRPr="006145C7" w:rsidRDefault="008669FE" w:rsidP="00230726">
      <w:pPr>
        <w:spacing w:line="480" w:lineRule="auto"/>
        <w:ind w:firstLine="720"/>
        <w:rPr>
          <w:rFonts w:ascii="Arial" w:hAnsi="Arial" w:cs="Arial"/>
          <w:sz w:val="24"/>
          <w:szCs w:val="24"/>
        </w:rPr>
      </w:pPr>
      <w:r w:rsidRPr="006145C7">
        <w:rPr>
          <w:rFonts w:ascii="Arial" w:hAnsi="Arial" w:cs="Arial"/>
          <w:sz w:val="24"/>
          <w:szCs w:val="24"/>
        </w:rPr>
        <w:t xml:space="preserve">The </w:t>
      </w:r>
      <w:r w:rsidR="00BC7BC3" w:rsidRPr="006145C7">
        <w:rPr>
          <w:rFonts w:ascii="Arial" w:hAnsi="Arial" w:cs="Arial"/>
          <w:sz w:val="24"/>
          <w:szCs w:val="24"/>
        </w:rPr>
        <w:t xml:space="preserve">non-serious adverse events that occurred in this </w:t>
      </w:r>
      <w:r w:rsidR="006346DB" w:rsidRPr="006145C7">
        <w:rPr>
          <w:rFonts w:ascii="Arial" w:hAnsi="Arial" w:cs="Arial"/>
          <w:sz w:val="24"/>
          <w:szCs w:val="24"/>
        </w:rPr>
        <w:t xml:space="preserve">interim analysis of the SIBGS were similar to the non-serious adverse events in the US SIGBS pivotal trial in </w:t>
      </w:r>
      <w:r w:rsidR="006346DB" w:rsidRPr="006145C7">
        <w:rPr>
          <w:rFonts w:ascii="Arial" w:hAnsi="Arial" w:cs="Arial"/>
          <w:sz w:val="24"/>
          <w:szCs w:val="24"/>
        </w:rPr>
        <w:lastRenderedPageBreak/>
        <w:t>terms of both rates and severity.  In the US SIGBS</w:t>
      </w:r>
      <w:r w:rsidR="00E7599A" w:rsidRPr="006145C7">
        <w:rPr>
          <w:rFonts w:ascii="Arial" w:hAnsi="Arial" w:cs="Arial"/>
          <w:sz w:val="24"/>
          <w:szCs w:val="24"/>
        </w:rPr>
        <w:t xml:space="preserve"> pivotal trial, 90.8% of patients experienced at least one non-serious adverse event, 82.2% were rated mild and only 0.5% were rated severe</w:t>
      </w:r>
      <w:r w:rsidR="0066364F" w:rsidRPr="0066364F">
        <w:rPr>
          <w:rFonts w:ascii="Arial" w:hAnsi="Arial" w:cs="Arial"/>
          <w:noProof/>
          <w:sz w:val="24"/>
          <w:szCs w:val="24"/>
          <w:vertAlign w:val="superscript"/>
        </w:rPr>
        <w:t>6</w:t>
      </w:r>
      <w:r w:rsidR="00E7599A" w:rsidRPr="006145C7">
        <w:rPr>
          <w:rFonts w:ascii="Arial" w:hAnsi="Arial" w:cs="Arial"/>
          <w:sz w:val="24"/>
          <w:szCs w:val="24"/>
        </w:rPr>
        <w:t>.  In this analysis, 86% percent of patients experienced at least one non-serious adverse and 91.2% of them were rated asymptomatic or mild and none were rated severe. These rates are significantly higher than the rates of non-serious adverse events reported in the prospective clinical registry, in which only 14.2% of patients reported a non-serious adverse event</w:t>
      </w:r>
      <w:r w:rsidR="0066364F" w:rsidRPr="0066364F">
        <w:rPr>
          <w:rFonts w:ascii="Arial" w:hAnsi="Arial" w:cs="Arial"/>
          <w:noProof/>
          <w:sz w:val="24"/>
          <w:szCs w:val="24"/>
          <w:vertAlign w:val="superscript"/>
        </w:rPr>
        <w:t>5</w:t>
      </w:r>
      <w:r w:rsidR="00E7599A" w:rsidRPr="006145C7">
        <w:rPr>
          <w:rFonts w:ascii="Arial" w:hAnsi="Arial" w:cs="Arial"/>
          <w:sz w:val="24"/>
          <w:szCs w:val="24"/>
        </w:rPr>
        <w:t xml:space="preserve">.  The differences in these rates are likely due to the intensive methods for adverse event assessment in the US pivotal trial and the present analysis. In the US pivotal trial for the SIGBS, patients were called within 24 hours of balloon administration and were questioned at each 3 week follow-up for adverse events while patients in the present study filled out a Rhodes Index of Nausea and Vomiting </w:t>
      </w:r>
      <w:r w:rsidR="00E90B7C" w:rsidRPr="006145C7">
        <w:rPr>
          <w:rFonts w:ascii="Arial" w:hAnsi="Arial" w:cs="Arial"/>
          <w:sz w:val="24"/>
          <w:szCs w:val="24"/>
        </w:rPr>
        <w:t>on day 1 and 7 after each balloon administration and at any time if symptoms developed.  This is in comparison to the clinical prospective registry where patients were not directly asked at specified time points for adverse events, but rather patients reported adverse events as they occurred or needed treatment. Since the vast majority of the non-serious adverse events in the US pivotal trial and this analysis were rated as mild or asymptomatic, by definition they did not require additional treatment and would likely not have been communicated in clinical practice. This highlights the general high tolerability of the SIGBS.</w:t>
      </w:r>
      <w:r w:rsidR="00EF5B02" w:rsidRPr="006145C7">
        <w:rPr>
          <w:rFonts w:ascii="Arial" w:hAnsi="Arial" w:cs="Arial"/>
          <w:sz w:val="24"/>
          <w:szCs w:val="24"/>
        </w:rPr>
        <w:t xml:space="preserve"> Although not reported as an adverse event, one balloon deflation occurred that was noted when the third balloon was not present at the time of scheduled removal. This low rate of deflation without sequela is consistent with both the US pivotal trial and the US prospective </w:t>
      </w:r>
      <w:r w:rsidR="003A32B3" w:rsidRPr="006145C7">
        <w:rPr>
          <w:rFonts w:ascii="Arial" w:hAnsi="Arial" w:cs="Arial"/>
          <w:sz w:val="24"/>
          <w:szCs w:val="24"/>
        </w:rPr>
        <w:t xml:space="preserve">registry </w:t>
      </w:r>
      <w:r w:rsidR="0066364F" w:rsidRPr="0066364F">
        <w:rPr>
          <w:rFonts w:ascii="Arial" w:hAnsi="Arial" w:cs="Arial"/>
          <w:noProof/>
          <w:sz w:val="24"/>
          <w:szCs w:val="24"/>
          <w:vertAlign w:val="superscript"/>
        </w:rPr>
        <w:t>5,6</w:t>
      </w:r>
      <w:r w:rsidR="00EF5B02" w:rsidRPr="006145C7">
        <w:rPr>
          <w:rFonts w:ascii="Arial" w:hAnsi="Arial" w:cs="Arial"/>
          <w:sz w:val="24"/>
          <w:szCs w:val="24"/>
        </w:rPr>
        <w:t>.</w:t>
      </w:r>
    </w:p>
    <w:p w:rsidR="00E90B7C" w:rsidRPr="006145C7" w:rsidRDefault="00E90B7C" w:rsidP="00230726">
      <w:pPr>
        <w:spacing w:line="480" w:lineRule="auto"/>
        <w:ind w:firstLine="720"/>
        <w:rPr>
          <w:rFonts w:ascii="Arial" w:hAnsi="Arial" w:cs="Arial"/>
          <w:sz w:val="24"/>
          <w:szCs w:val="24"/>
        </w:rPr>
      </w:pPr>
      <w:r w:rsidRPr="006145C7">
        <w:rPr>
          <w:rFonts w:ascii="Arial" w:hAnsi="Arial" w:cs="Arial"/>
          <w:sz w:val="24"/>
          <w:szCs w:val="24"/>
        </w:rPr>
        <w:lastRenderedPageBreak/>
        <w:t>No serious adverse events occurred in the patients included in this analysis or in any patient currently enrolled in the post</w:t>
      </w:r>
      <w:r w:rsidR="00B5606A" w:rsidRPr="006145C7">
        <w:rPr>
          <w:rFonts w:ascii="Arial" w:hAnsi="Arial" w:cs="Arial"/>
          <w:sz w:val="24"/>
          <w:szCs w:val="24"/>
        </w:rPr>
        <w:t xml:space="preserve"> market approval study.  T</w:t>
      </w:r>
      <w:r w:rsidRPr="006145C7">
        <w:rPr>
          <w:rFonts w:ascii="Arial" w:hAnsi="Arial" w:cs="Arial"/>
          <w:sz w:val="24"/>
          <w:szCs w:val="24"/>
        </w:rPr>
        <w:t>his is consistent with the rates of serious adverse events reported in the US pivotal trial (0.3%) and the US prospective clinical registry (0.15%).  This is in comparison to</w:t>
      </w:r>
      <w:r w:rsidR="00937EA1" w:rsidRPr="006145C7">
        <w:rPr>
          <w:rFonts w:ascii="Arial" w:hAnsi="Arial" w:cs="Arial"/>
          <w:sz w:val="24"/>
          <w:szCs w:val="24"/>
        </w:rPr>
        <w:t xml:space="preserve"> the</w:t>
      </w:r>
      <w:r w:rsidRPr="006145C7">
        <w:rPr>
          <w:rFonts w:ascii="Arial" w:hAnsi="Arial" w:cs="Arial"/>
          <w:sz w:val="24"/>
          <w:szCs w:val="24"/>
        </w:rPr>
        <w:t xml:space="preserve"> fluid filled IGB</w:t>
      </w:r>
      <w:r w:rsidR="00937EA1" w:rsidRPr="006145C7">
        <w:rPr>
          <w:rFonts w:ascii="Arial" w:hAnsi="Arial" w:cs="Arial"/>
          <w:sz w:val="24"/>
          <w:szCs w:val="24"/>
        </w:rPr>
        <w:t>’s which have recently been approved and marketed in the US (the dual fluid filled intragastric balloon is no longer commercially available)</w:t>
      </w:r>
      <w:r w:rsidRPr="006145C7">
        <w:rPr>
          <w:rFonts w:ascii="Arial" w:hAnsi="Arial" w:cs="Arial"/>
          <w:sz w:val="24"/>
          <w:szCs w:val="24"/>
        </w:rPr>
        <w:t xml:space="preserve"> which demonstrated serious adverse event rates of </w:t>
      </w:r>
      <w:r w:rsidR="00B5606A" w:rsidRPr="006145C7">
        <w:rPr>
          <w:rFonts w:ascii="Arial" w:hAnsi="Arial" w:cs="Arial"/>
          <w:sz w:val="24"/>
          <w:szCs w:val="24"/>
        </w:rPr>
        <w:t>7.5</w:t>
      </w:r>
      <w:r w:rsidR="00937EA1" w:rsidRPr="006145C7">
        <w:rPr>
          <w:rFonts w:ascii="Arial" w:hAnsi="Arial" w:cs="Arial"/>
          <w:sz w:val="24"/>
          <w:szCs w:val="24"/>
        </w:rPr>
        <w:t>-10</w:t>
      </w:r>
      <w:r w:rsidR="00B5606A" w:rsidRPr="006145C7">
        <w:rPr>
          <w:rFonts w:ascii="Arial" w:hAnsi="Arial" w:cs="Arial"/>
          <w:sz w:val="24"/>
          <w:szCs w:val="24"/>
        </w:rPr>
        <w:t>%</w:t>
      </w:r>
      <w:r w:rsidR="006B7483" w:rsidRPr="006B7483">
        <w:rPr>
          <w:rFonts w:ascii="Arial" w:hAnsi="Arial" w:cs="Arial"/>
          <w:noProof/>
          <w:sz w:val="24"/>
          <w:szCs w:val="24"/>
          <w:vertAlign w:val="superscript"/>
        </w:rPr>
        <w:t>13,23</w:t>
      </w:r>
      <w:r w:rsidR="00937EA1" w:rsidRPr="006145C7">
        <w:rPr>
          <w:rFonts w:ascii="Arial" w:hAnsi="Arial" w:cs="Arial"/>
          <w:sz w:val="24"/>
          <w:szCs w:val="24"/>
        </w:rPr>
        <w:t>.</w:t>
      </w:r>
    </w:p>
    <w:p w:rsidR="00B5606A" w:rsidRPr="006145C7" w:rsidRDefault="00B5606A" w:rsidP="00230726">
      <w:pPr>
        <w:spacing w:line="480" w:lineRule="auto"/>
        <w:ind w:firstLine="720"/>
        <w:rPr>
          <w:rFonts w:ascii="Arial" w:hAnsi="Arial" w:cs="Arial"/>
          <w:sz w:val="24"/>
          <w:szCs w:val="24"/>
        </w:rPr>
      </w:pPr>
      <w:r w:rsidRPr="006145C7">
        <w:rPr>
          <w:rFonts w:ascii="Arial" w:hAnsi="Arial" w:cs="Arial"/>
          <w:sz w:val="24"/>
          <w:szCs w:val="24"/>
        </w:rPr>
        <w:t>There are several limitations to this study. First, the data we present are from an interim analysis of the SIGBS Post Market Approval study and do not include the entire study population. Due to the COV</w:t>
      </w:r>
      <w:r w:rsidR="00ED1BE2" w:rsidRPr="006145C7">
        <w:rPr>
          <w:rFonts w:ascii="Arial" w:hAnsi="Arial" w:cs="Arial"/>
          <w:sz w:val="24"/>
          <w:szCs w:val="24"/>
        </w:rPr>
        <w:t>I</w:t>
      </w:r>
      <w:r w:rsidRPr="006145C7">
        <w:rPr>
          <w:rFonts w:ascii="Arial" w:hAnsi="Arial" w:cs="Arial"/>
          <w:sz w:val="24"/>
          <w:szCs w:val="24"/>
        </w:rPr>
        <w:t>D pandemic, the decision was made to proceed with publishing the interim results of the study</w:t>
      </w:r>
      <w:r w:rsidR="008F7FBB">
        <w:rPr>
          <w:rFonts w:ascii="Arial" w:hAnsi="Arial" w:cs="Arial"/>
          <w:sz w:val="24"/>
          <w:szCs w:val="24"/>
        </w:rPr>
        <w:t>, which have already been submitted to the Food and Drug Administration. H</w:t>
      </w:r>
      <w:r w:rsidRPr="006145C7">
        <w:rPr>
          <w:rFonts w:ascii="Arial" w:hAnsi="Arial" w:cs="Arial"/>
          <w:sz w:val="24"/>
          <w:szCs w:val="24"/>
        </w:rPr>
        <w:t>owever, more than 100 patients have enrolled in the study and no serious adverse events have occurred in any subject currently enrolled in the study</w:t>
      </w:r>
      <w:r w:rsidR="008F7FBB">
        <w:rPr>
          <w:rFonts w:ascii="Arial" w:hAnsi="Arial" w:cs="Arial"/>
          <w:sz w:val="24"/>
          <w:szCs w:val="24"/>
        </w:rPr>
        <w:t xml:space="preserve"> at the time of submission of this manuscript</w:t>
      </w:r>
      <w:r w:rsidRPr="006145C7">
        <w:rPr>
          <w:rFonts w:ascii="Arial" w:hAnsi="Arial" w:cs="Arial"/>
          <w:sz w:val="24"/>
          <w:szCs w:val="24"/>
        </w:rPr>
        <w:t>.  Moreover, the weight loss data seen in the first 100 patients is similar to the large prospective registry series, which suggests that additional subjects will not have a significant effect on the weight loss findings.  Second, the majority of the patients in this study are women.  This is common among both the US pivotal trials as well as the registry series of endoscopic bariatric therapies and does represent a typical clinical population</w:t>
      </w:r>
      <w:r w:rsidR="006B7483" w:rsidRPr="006B7483">
        <w:rPr>
          <w:rFonts w:ascii="Arial" w:hAnsi="Arial" w:cs="Arial"/>
          <w:noProof/>
          <w:sz w:val="24"/>
          <w:szCs w:val="24"/>
          <w:vertAlign w:val="superscript"/>
        </w:rPr>
        <w:t>5,6,11-14,23,24</w:t>
      </w:r>
      <w:r w:rsidRPr="006145C7">
        <w:rPr>
          <w:rFonts w:ascii="Arial" w:hAnsi="Arial" w:cs="Arial"/>
          <w:sz w:val="24"/>
          <w:szCs w:val="24"/>
        </w:rPr>
        <w:t>.</w:t>
      </w:r>
      <w:r w:rsidR="00BC11FB" w:rsidRPr="006145C7">
        <w:rPr>
          <w:rFonts w:ascii="Arial" w:hAnsi="Arial" w:cs="Arial"/>
          <w:sz w:val="24"/>
          <w:szCs w:val="24"/>
        </w:rPr>
        <w:t xml:space="preserve">  Third, laboratory evaluation of cardiometabolic diseases was not performed in this study. The weight loss achieved both at 6 and 12 months is associated with cardiometabolic benefits</w:t>
      </w:r>
      <w:r w:rsidR="006B7483" w:rsidRPr="006B7483">
        <w:rPr>
          <w:rFonts w:ascii="Arial" w:hAnsi="Arial" w:cs="Arial"/>
          <w:noProof/>
          <w:sz w:val="24"/>
          <w:szCs w:val="24"/>
          <w:vertAlign w:val="superscript"/>
        </w:rPr>
        <w:t>25-27</w:t>
      </w:r>
      <w:r w:rsidR="003B6B16" w:rsidRPr="006145C7">
        <w:rPr>
          <w:rFonts w:ascii="Arial" w:hAnsi="Arial" w:cs="Arial"/>
          <w:sz w:val="24"/>
          <w:szCs w:val="24"/>
        </w:rPr>
        <w:t>, but since laboratory values were not obtained, this could not be verified in our study.</w:t>
      </w:r>
    </w:p>
    <w:p w:rsidR="003A6F60" w:rsidRPr="006145C7" w:rsidRDefault="003A6F60" w:rsidP="003A6F60">
      <w:pPr>
        <w:spacing w:line="480" w:lineRule="auto"/>
        <w:rPr>
          <w:rFonts w:ascii="Arial" w:hAnsi="Arial" w:cs="Arial"/>
          <w:b/>
          <w:sz w:val="24"/>
          <w:szCs w:val="24"/>
        </w:rPr>
      </w:pPr>
      <w:r w:rsidRPr="006145C7">
        <w:rPr>
          <w:rFonts w:ascii="Arial" w:hAnsi="Arial" w:cs="Arial"/>
          <w:b/>
          <w:sz w:val="24"/>
          <w:szCs w:val="24"/>
        </w:rPr>
        <w:t>Conclusions</w:t>
      </w:r>
    </w:p>
    <w:p w:rsidR="003E7C01" w:rsidRPr="006145C7" w:rsidRDefault="003B6B16" w:rsidP="00AE0129">
      <w:pPr>
        <w:spacing w:line="480" w:lineRule="auto"/>
        <w:ind w:firstLine="720"/>
        <w:rPr>
          <w:rFonts w:ascii="Arial" w:hAnsi="Arial" w:cs="Arial"/>
          <w:sz w:val="24"/>
          <w:szCs w:val="24"/>
        </w:rPr>
      </w:pPr>
      <w:r w:rsidRPr="006145C7">
        <w:rPr>
          <w:rFonts w:ascii="Arial" w:hAnsi="Arial" w:cs="Arial"/>
          <w:sz w:val="24"/>
          <w:szCs w:val="24"/>
        </w:rPr>
        <w:lastRenderedPageBreak/>
        <w:t xml:space="preserve">In conclusion, the </w:t>
      </w:r>
      <w:r w:rsidR="009648EF" w:rsidRPr="006145C7">
        <w:rPr>
          <w:rFonts w:ascii="Arial" w:hAnsi="Arial" w:cs="Arial"/>
          <w:sz w:val="24"/>
          <w:szCs w:val="24"/>
        </w:rPr>
        <w:t xml:space="preserve">interim analysis of the SIGBS post market approval study demonstrates </w:t>
      </w:r>
      <w:r w:rsidR="00053486" w:rsidRPr="006145C7">
        <w:rPr>
          <w:rFonts w:ascii="Arial" w:hAnsi="Arial" w:cs="Arial"/>
          <w:sz w:val="24"/>
          <w:szCs w:val="24"/>
        </w:rPr>
        <w:t>clinically significant weight loss</w:t>
      </w:r>
      <w:r w:rsidR="00294929">
        <w:rPr>
          <w:rFonts w:ascii="Arial" w:hAnsi="Arial" w:cs="Arial"/>
          <w:sz w:val="24"/>
          <w:szCs w:val="24"/>
        </w:rPr>
        <w:t xml:space="preserve"> and low risk</w:t>
      </w:r>
      <w:r w:rsidR="00053486" w:rsidRPr="006145C7">
        <w:rPr>
          <w:rFonts w:ascii="Arial" w:hAnsi="Arial" w:cs="Arial"/>
          <w:sz w:val="24"/>
          <w:szCs w:val="24"/>
        </w:rPr>
        <w:t xml:space="preserve"> consistent with the previously published largest prospective endoscopic bariatric therapy device registry in the U</w:t>
      </w:r>
      <w:r w:rsidR="00294929">
        <w:rPr>
          <w:rFonts w:ascii="Arial" w:hAnsi="Arial" w:cs="Arial"/>
          <w:sz w:val="24"/>
          <w:szCs w:val="24"/>
        </w:rPr>
        <w:t xml:space="preserve">S and highlights the importance of follow-up lifestyle therapy sessions for weight loss success.  The negative predictor of history of depression on weight loss suggests that additional therapy for depression may help to increase weight loss in patients with a history of depression. </w:t>
      </w:r>
      <w:r w:rsidR="009B1DE3" w:rsidRPr="006145C7">
        <w:rPr>
          <w:rFonts w:ascii="Arial" w:hAnsi="Arial" w:cs="Arial"/>
          <w:sz w:val="24"/>
          <w:szCs w:val="24"/>
        </w:rPr>
        <w:t>These data support the use of the SIGBS as an effective</w:t>
      </w:r>
      <w:r w:rsidR="00294929">
        <w:rPr>
          <w:rFonts w:ascii="Arial" w:hAnsi="Arial" w:cs="Arial"/>
          <w:sz w:val="24"/>
          <w:szCs w:val="24"/>
        </w:rPr>
        <w:t xml:space="preserve"> and safe treatment for obesity in conjunction with lifest</w:t>
      </w:r>
      <w:r w:rsidR="00E00299">
        <w:rPr>
          <w:rFonts w:ascii="Arial" w:hAnsi="Arial" w:cs="Arial"/>
          <w:sz w:val="24"/>
          <w:szCs w:val="24"/>
        </w:rPr>
        <w:t>yle therapy, but further research is needed to determine methods for improving weight loss for patients with depression who are treated with the SIGBS.</w:t>
      </w:r>
    </w:p>
    <w:p w:rsidR="0070513C" w:rsidRDefault="0070513C" w:rsidP="0070513C">
      <w:pPr>
        <w:spacing w:line="480" w:lineRule="auto"/>
        <w:rPr>
          <w:rFonts w:ascii="Arial" w:hAnsi="Arial" w:cs="Arial"/>
          <w:sz w:val="24"/>
          <w:szCs w:val="24"/>
        </w:rPr>
      </w:pPr>
    </w:p>
    <w:p w:rsidR="00DB6AC4" w:rsidRPr="006145C7" w:rsidRDefault="00FB0777" w:rsidP="006E01E4">
      <w:pPr>
        <w:spacing w:line="480" w:lineRule="auto"/>
        <w:rPr>
          <w:rFonts w:ascii="Arial" w:hAnsi="Arial" w:cs="Arial"/>
          <w:sz w:val="24"/>
          <w:szCs w:val="24"/>
        </w:rPr>
      </w:pPr>
      <w:r w:rsidRPr="006145C7">
        <w:rPr>
          <w:rFonts w:ascii="Arial" w:hAnsi="Arial" w:cs="Arial"/>
          <w:sz w:val="24"/>
          <w:szCs w:val="24"/>
        </w:rPr>
        <w:t>References</w:t>
      </w:r>
    </w:p>
    <w:p w:rsidR="006B7483" w:rsidRPr="006B7483" w:rsidRDefault="006B7483" w:rsidP="006B7483">
      <w:pPr>
        <w:pStyle w:val="EndNoteBibliography"/>
        <w:spacing w:after="0"/>
        <w:ind w:left="720" w:hanging="720"/>
      </w:pPr>
      <w:r w:rsidRPr="006B7483">
        <w:t>1.</w:t>
      </w:r>
      <w:r w:rsidRPr="006B7483">
        <w:tab/>
        <w:t xml:space="preserve">Hales CM, Fryar CD, Carroll MD, Freedman DS, Ogden CL. Trends in obesity and severe obesity prevalence in us youth and adults by sex and age, 2007-2008 to 2015-2016. </w:t>
      </w:r>
      <w:r w:rsidRPr="006B7483">
        <w:rPr>
          <w:i/>
        </w:rPr>
        <w:t xml:space="preserve">JAMA. </w:t>
      </w:r>
      <w:r w:rsidRPr="006B7483">
        <w:t>2018.</w:t>
      </w:r>
    </w:p>
    <w:p w:rsidR="006B7483" w:rsidRPr="006B7483" w:rsidRDefault="006B7483" w:rsidP="006B7483">
      <w:pPr>
        <w:pStyle w:val="EndNoteBibliography"/>
        <w:spacing w:after="0"/>
        <w:ind w:left="720" w:hanging="720"/>
      </w:pPr>
      <w:r w:rsidRPr="006B7483">
        <w:t>2.</w:t>
      </w:r>
      <w:r w:rsidRPr="006B7483">
        <w:tab/>
        <w:t xml:space="preserve">Samaranayake NR, Ong KL, Leung RY, Cheung BM. Management of obesity in the National Health and Nutrition Examination Survey (NHANES), 2007-2008. </w:t>
      </w:r>
      <w:r w:rsidRPr="006B7483">
        <w:rPr>
          <w:i/>
        </w:rPr>
        <w:t xml:space="preserve">Ann Epidemiol. </w:t>
      </w:r>
      <w:r w:rsidRPr="006B7483">
        <w:t>2012;22(5):349-353.</w:t>
      </w:r>
    </w:p>
    <w:p w:rsidR="006B7483" w:rsidRPr="006B7483" w:rsidRDefault="006B7483" w:rsidP="006B7483">
      <w:pPr>
        <w:pStyle w:val="EndNoteBibliography"/>
        <w:spacing w:after="0"/>
        <w:ind w:left="720" w:hanging="720"/>
      </w:pPr>
      <w:r w:rsidRPr="006B7483">
        <w:t>3.</w:t>
      </w:r>
      <w:r w:rsidRPr="006B7483">
        <w:tab/>
        <w:t xml:space="preserve">Thomas DD, Waring ME, Ameli O, Reisman JI, Vimalananda VG. Patient Characteristics Associated with Receipt of Prescription Weight-Management Medications Among Veterans Participating in MOVE! </w:t>
      </w:r>
      <w:r w:rsidRPr="006B7483">
        <w:rPr>
          <w:i/>
        </w:rPr>
        <w:t xml:space="preserve">Obesity (Silver Spring). </w:t>
      </w:r>
      <w:r w:rsidRPr="006B7483">
        <w:t>2019;27(7):1168-1176.</w:t>
      </w:r>
    </w:p>
    <w:p w:rsidR="006B7483" w:rsidRPr="006B7483" w:rsidRDefault="006B7483" w:rsidP="006B7483">
      <w:pPr>
        <w:pStyle w:val="EndNoteBibliography"/>
        <w:spacing w:after="0"/>
        <w:ind w:left="720" w:hanging="720"/>
      </w:pPr>
      <w:r w:rsidRPr="006B7483">
        <w:t>4.</w:t>
      </w:r>
      <w:r w:rsidRPr="006B7483">
        <w:tab/>
        <w:t xml:space="preserve">Ponce J, DeMaria EJ, Nguyen NT, Hutter M, Sudan R, Morton JM. American Society for Metabolic and Bariatric Surgery estimation of bariatric surgery procedures in 2015 and surgeon workforce in the United States. </w:t>
      </w:r>
      <w:r w:rsidRPr="006B7483">
        <w:rPr>
          <w:i/>
        </w:rPr>
        <w:t xml:space="preserve">Surg Obes Relat Dis. </w:t>
      </w:r>
      <w:r w:rsidRPr="006B7483">
        <w:t>2016;12(9):1637-1639.</w:t>
      </w:r>
    </w:p>
    <w:p w:rsidR="006B7483" w:rsidRPr="006B7483" w:rsidRDefault="006B7483" w:rsidP="006B7483">
      <w:pPr>
        <w:pStyle w:val="EndNoteBibliography"/>
        <w:spacing w:after="0"/>
        <w:ind w:left="720" w:hanging="720"/>
      </w:pPr>
      <w:r w:rsidRPr="006B7483">
        <w:t>5.</w:t>
      </w:r>
      <w:r w:rsidRPr="006B7483">
        <w:tab/>
        <w:t xml:space="preserve">Moore RL, Seger MV, Garber SM, et al. Clinical Safety and Effectiveness of a Swallowable Gas-filled Intragastric Balloon System for Weight Loss: Consecutively Treated Patients in the Initial Year of US Commercialization. </w:t>
      </w:r>
      <w:r w:rsidRPr="006B7483">
        <w:rPr>
          <w:i/>
        </w:rPr>
        <w:t xml:space="preserve">Surgery for Obesity and Related Diseases. </w:t>
      </w:r>
      <w:r w:rsidRPr="006B7483">
        <w:t>2018.</w:t>
      </w:r>
    </w:p>
    <w:p w:rsidR="006B7483" w:rsidRPr="006B7483" w:rsidRDefault="006B7483" w:rsidP="006B7483">
      <w:pPr>
        <w:pStyle w:val="EndNoteBibliography"/>
        <w:spacing w:after="0"/>
        <w:ind w:left="720" w:hanging="720"/>
      </w:pPr>
      <w:r w:rsidRPr="006B7483">
        <w:t>6.</w:t>
      </w:r>
      <w:r w:rsidRPr="006B7483">
        <w:tab/>
        <w:t xml:space="preserve">Sullivan S, Swain J, Woodman G, et al. Randomized sham-controlled trial of the 6-month swallowable gas-filled intragastric balloon system for weight loss. </w:t>
      </w:r>
      <w:r w:rsidRPr="006B7483">
        <w:rPr>
          <w:i/>
        </w:rPr>
        <w:t xml:space="preserve">Surgery for Obesity and Related Diseases. </w:t>
      </w:r>
      <w:r w:rsidRPr="006B7483">
        <w:t>2018.</w:t>
      </w:r>
    </w:p>
    <w:p w:rsidR="006B7483" w:rsidRPr="006B7483" w:rsidRDefault="006B7483" w:rsidP="006B7483">
      <w:pPr>
        <w:pStyle w:val="EndNoteBibliography"/>
        <w:spacing w:after="0"/>
        <w:ind w:left="720" w:hanging="720"/>
      </w:pPr>
      <w:r w:rsidRPr="006B7483">
        <w:t>7.</w:t>
      </w:r>
      <w:r w:rsidRPr="006B7483">
        <w:tab/>
        <w:t xml:space="preserve">Obalon. Obalon Balloon System with Navigation and Touch Instructions for Use. </w:t>
      </w:r>
      <w:hyperlink r:id="rId8" w:history="1">
        <w:r w:rsidRPr="006B7483">
          <w:rPr>
            <w:rStyle w:val="Hyperlink"/>
          </w:rPr>
          <w:t>https://www.obalon.com/wp-content/uploads/2019/03/LIT-7410-0001-05-Obalon-Balloon-System-with-Navigation-and-Obalon-Touch-IFU.pdf</w:t>
        </w:r>
      </w:hyperlink>
      <w:r w:rsidRPr="006B7483">
        <w:t>. Published 2019. Accessed 6.1.2020, 2020.</w:t>
      </w:r>
    </w:p>
    <w:p w:rsidR="006B7483" w:rsidRPr="006B7483" w:rsidRDefault="006B7483" w:rsidP="006B7483">
      <w:pPr>
        <w:pStyle w:val="EndNoteBibliography"/>
        <w:spacing w:after="0"/>
        <w:ind w:left="720" w:hanging="720"/>
      </w:pPr>
      <w:r w:rsidRPr="006B7483">
        <w:lastRenderedPageBreak/>
        <w:t>8.</w:t>
      </w:r>
      <w:r w:rsidRPr="006B7483">
        <w:tab/>
        <w:t xml:space="preserve">Ware JE, Jr., Sherbourne CD. The MOS 36-item short-form health survey (SF-36). I. Conceptual framework and item selection. </w:t>
      </w:r>
      <w:r w:rsidRPr="006B7483">
        <w:rPr>
          <w:i/>
        </w:rPr>
        <w:t xml:space="preserve">Med Care. </w:t>
      </w:r>
      <w:r w:rsidRPr="006B7483">
        <w:t>1992;30(6):473-483.</w:t>
      </w:r>
    </w:p>
    <w:p w:rsidR="006B7483" w:rsidRPr="006B7483" w:rsidRDefault="006B7483" w:rsidP="006B7483">
      <w:pPr>
        <w:pStyle w:val="EndNoteBibliography"/>
        <w:spacing w:after="0"/>
        <w:ind w:left="720" w:hanging="720"/>
      </w:pPr>
      <w:r w:rsidRPr="006B7483">
        <w:t>9.</w:t>
      </w:r>
      <w:r w:rsidRPr="006B7483">
        <w:tab/>
        <w:t xml:space="preserve">Kolotkin RL, Crosby RD. Psychometric evaluation of the impact of weight on quality of life-lite questionnaire (IWQOL-lite) in a community sample. </w:t>
      </w:r>
      <w:r w:rsidRPr="006B7483">
        <w:rPr>
          <w:i/>
        </w:rPr>
        <w:t xml:space="preserve">Qual Life Res. </w:t>
      </w:r>
      <w:r w:rsidRPr="006B7483">
        <w:t>2002;11(2):157-171.</w:t>
      </w:r>
    </w:p>
    <w:p w:rsidR="006B7483" w:rsidRPr="006B7483" w:rsidRDefault="006B7483" w:rsidP="006B7483">
      <w:pPr>
        <w:pStyle w:val="EndNoteBibliography"/>
        <w:spacing w:after="0"/>
        <w:ind w:left="720" w:hanging="720"/>
      </w:pPr>
      <w:r w:rsidRPr="006B7483">
        <w:t>10.</w:t>
      </w:r>
      <w:r w:rsidRPr="006B7483">
        <w:tab/>
        <w:t xml:space="preserve">Rhodes VA, McDaniel RW. The Index of Nausea, Vomiting, and Retching: a new format of the lndex of Nausea and Vomiting. </w:t>
      </w:r>
      <w:r w:rsidRPr="006B7483">
        <w:rPr>
          <w:i/>
        </w:rPr>
        <w:t xml:space="preserve">Oncol Nurs Forum. </w:t>
      </w:r>
      <w:r w:rsidRPr="006B7483">
        <w:t>1999;26(5):889-894.</w:t>
      </w:r>
    </w:p>
    <w:p w:rsidR="006B7483" w:rsidRPr="006B7483" w:rsidRDefault="006B7483" w:rsidP="006B7483">
      <w:pPr>
        <w:pStyle w:val="EndNoteBibliography"/>
        <w:spacing w:after="0"/>
        <w:ind w:left="720" w:hanging="720"/>
      </w:pPr>
      <w:r w:rsidRPr="006B7483">
        <w:t>11.</w:t>
      </w:r>
      <w:r w:rsidRPr="006B7483">
        <w:tab/>
        <w:t xml:space="preserve">Sullivan S, Swain JM, Woodman G, et al. Randomized sham-controlled trial evaluating efficacy and safety of endoscopic gastric plication for primary obesity: The ESSENTIAL trial. </w:t>
      </w:r>
      <w:r w:rsidRPr="006B7483">
        <w:rPr>
          <w:i/>
        </w:rPr>
        <w:t xml:space="preserve">Obesity (Silver Spring). </w:t>
      </w:r>
      <w:r w:rsidRPr="006B7483">
        <w:t>2017;25(2):294-301.</w:t>
      </w:r>
    </w:p>
    <w:p w:rsidR="006B7483" w:rsidRPr="006B7483" w:rsidRDefault="006B7483" w:rsidP="006B7483">
      <w:pPr>
        <w:pStyle w:val="EndNoteBibliography"/>
        <w:spacing w:after="0"/>
        <w:ind w:left="720" w:hanging="720"/>
      </w:pPr>
      <w:r w:rsidRPr="006B7483">
        <w:t>12.</w:t>
      </w:r>
      <w:r w:rsidRPr="006B7483">
        <w:tab/>
        <w:t xml:space="preserve">Agnihotri A, Xie A, Bartalos C, et al. Real-World Safety and Efficacy of Fluid-Filled Dual Intragastric Balloon for Weight Loss. </w:t>
      </w:r>
      <w:r w:rsidRPr="006B7483">
        <w:rPr>
          <w:i/>
        </w:rPr>
        <w:t xml:space="preserve">Clin Gastroenterol Hepatol. </w:t>
      </w:r>
      <w:r w:rsidRPr="006B7483">
        <w:t>2018;16(7):1081-1088.e1081.</w:t>
      </w:r>
    </w:p>
    <w:p w:rsidR="006B7483" w:rsidRPr="006B7483" w:rsidRDefault="006B7483" w:rsidP="006B7483">
      <w:pPr>
        <w:pStyle w:val="EndNoteBibliography"/>
        <w:spacing w:after="0"/>
        <w:ind w:left="720" w:hanging="720"/>
      </w:pPr>
      <w:r w:rsidRPr="006B7483">
        <w:t>13.</w:t>
      </w:r>
      <w:r w:rsidRPr="006B7483">
        <w:tab/>
        <w:t xml:space="preserve">Ponce J, Woodman G, Swain J, et al. The REDUCE pivotal trial: a prospective, randomized controlled pivotal trial of a dual intragastric balloon for the treatment of obesity. </w:t>
      </w:r>
      <w:r w:rsidRPr="006B7483">
        <w:rPr>
          <w:i/>
        </w:rPr>
        <w:t xml:space="preserve">Surgery for Obesity and Related Diseases. </w:t>
      </w:r>
      <w:r w:rsidRPr="006B7483">
        <w:t>2015;11(4):874-881.</w:t>
      </w:r>
    </w:p>
    <w:p w:rsidR="006B7483" w:rsidRPr="006B7483" w:rsidRDefault="006B7483" w:rsidP="006B7483">
      <w:pPr>
        <w:pStyle w:val="EndNoteBibliography"/>
        <w:spacing w:after="0"/>
        <w:ind w:left="720" w:hanging="720"/>
      </w:pPr>
      <w:r w:rsidRPr="006B7483">
        <w:t>14.</w:t>
      </w:r>
      <w:r w:rsidRPr="006B7483">
        <w:tab/>
        <w:t xml:space="preserve">Vargas EJ, Pesta CM, Bali A, et al. Single Fluid-Filled Intragastric Balloon Safe and Effective for Inducing Weight Loss in a Real-World Population. </w:t>
      </w:r>
      <w:r w:rsidRPr="006B7483">
        <w:rPr>
          <w:i/>
        </w:rPr>
        <w:t xml:space="preserve">Clin Gastroenterol Hepatol. </w:t>
      </w:r>
      <w:r w:rsidRPr="006B7483">
        <w:t>2018;16(7):1073-1080.e1071.</w:t>
      </w:r>
    </w:p>
    <w:p w:rsidR="006B7483" w:rsidRPr="006B7483" w:rsidRDefault="006B7483" w:rsidP="006B7483">
      <w:pPr>
        <w:pStyle w:val="EndNoteBibliography"/>
        <w:spacing w:after="0"/>
        <w:ind w:left="720" w:hanging="720"/>
      </w:pPr>
      <w:r w:rsidRPr="006B7483">
        <w:t>15.</w:t>
      </w:r>
      <w:r w:rsidRPr="006B7483">
        <w:tab/>
        <w:t xml:space="preserve">Wadden TA, Neiberg RH, Wing RR, et al. Four-year weight losses in the Look AHEAD study: factors associated with long-term success. </w:t>
      </w:r>
      <w:r w:rsidRPr="006B7483">
        <w:rPr>
          <w:i/>
        </w:rPr>
        <w:t xml:space="preserve">Obesity (Silver Spring, Md). </w:t>
      </w:r>
      <w:r w:rsidRPr="006B7483">
        <w:t>2011;19(10):1987-1998.</w:t>
      </w:r>
    </w:p>
    <w:p w:rsidR="006B7483" w:rsidRPr="006B7483" w:rsidRDefault="006B7483" w:rsidP="006B7483">
      <w:pPr>
        <w:pStyle w:val="EndNoteBibliography"/>
        <w:spacing w:after="0"/>
        <w:ind w:left="720" w:hanging="720"/>
      </w:pPr>
      <w:r w:rsidRPr="006B7483">
        <w:t>16.</w:t>
      </w:r>
      <w:r w:rsidRPr="006B7483">
        <w:tab/>
        <w:t xml:space="preserve">Sacks FM, Bray GA, Carey VJ, et al. Comparison of weight-loss diets with different compositions of fat, protein, and carbohydrates. </w:t>
      </w:r>
      <w:r w:rsidRPr="006B7483">
        <w:rPr>
          <w:i/>
        </w:rPr>
        <w:t xml:space="preserve">N Engl J Med. </w:t>
      </w:r>
      <w:r w:rsidRPr="006B7483">
        <w:t>2009;360(9):859-873.</w:t>
      </w:r>
    </w:p>
    <w:p w:rsidR="006B7483" w:rsidRPr="006B7483" w:rsidRDefault="006B7483" w:rsidP="006B7483">
      <w:pPr>
        <w:pStyle w:val="EndNoteBibliography"/>
        <w:spacing w:after="0"/>
        <w:ind w:left="720" w:hanging="720"/>
      </w:pPr>
      <w:r w:rsidRPr="006B7483">
        <w:t>17.</w:t>
      </w:r>
      <w:r w:rsidRPr="006B7483">
        <w:tab/>
        <w:t xml:space="preserve">Ely EK, Gruss SM, Luman ET, et al. A National Effort to Prevent Type 2 Diabetes: Participant-Level Evaluation of CDC's National Diabetes Prevention Program. </w:t>
      </w:r>
      <w:r w:rsidRPr="006B7483">
        <w:rPr>
          <w:i/>
        </w:rPr>
        <w:t xml:space="preserve">Diabetes care. </w:t>
      </w:r>
      <w:r w:rsidRPr="006B7483">
        <w:t>2017;40(10):1331-1341.</w:t>
      </w:r>
    </w:p>
    <w:p w:rsidR="006B7483" w:rsidRPr="006B7483" w:rsidRDefault="006B7483" w:rsidP="006B7483">
      <w:pPr>
        <w:pStyle w:val="EndNoteBibliography"/>
        <w:spacing w:after="0"/>
        <w:ind w:left="720" w:hanging="720"/>
      </w:pPr>
      <w:r w:rsidRPr="006B7483">
        <w:t>18.</w:t>
      </w:r>
      <w:r w:rsidRPr="006B7483">
        <w:tab/>
        <w:t xml:space="preserve">Tronieri JS, Wadden TA, Walsh O, Berkowitz RI, Alamuddin N, Chao AM. Measures of adherence as predictors of early and total weight loss with intensive behavioral therapy for obesity combined with liraglutide 3.0 mg. </w:t>
      </w:r>
      <w:r w:rsidRPr="006B7483">
        <w:rPr>
          <w:i/>
        </w:rPr>
        <w:t xml:space="preserve">Behaviour Research and Therapy. </w:t>
      </w:r>
      <w:r w:rsidRPr="006B7483">
        <w:t>2020;131:103639.</w:t>
      </w:r>
    </w:p>
    <w:p w:rsidR="006B7483" w:rsidRPr="006B7483" w:rsidRDefault="006B7483" w:rsidP="006B7483">
      <w:pPr>
        <w:pStyle w:val="EndNoteBibliography"/>
        <w:spacing w:after="0"/>
        <w:ind w:left="720" w:hanging="720"/>
      </w:pPr>
      <w:r w:rsidRPr="006B7483">
        <w:t>19.</w:t>
      </w:r>
      <w:r w:rsidRPr="006B7483">
        <w:tab/>
        <w:t xml:space="preserve">Wadden TA, Berkowitz RI, Womble LG, et al. Randomized trial of lifestyle modification and pharmacotherapy for obesity. </w:t>
      </w:r>
      <w:r w:rsidRPr="006B7483">
        <w:rPr>
          <w:i/>
        </w:rPr>
        <w:t xml:space="preserve">N Engl J Med. </w:t>
      </w:r>
      <w:r w:rsidRPr="006B7483">
        <w:t>2005;353(20):2111-2120.</w:t>
      </w:r>
    </w:p>
    <w:p w:rsidR="006B7483" w:rsidRPr="006B7483" w:rsidRDefault="006B7483" w:rsidP="006B7483">
      <w:pPr>
        <w:pStyle w:val="EndNoteBibliography"/>
        <w:spacing w:after="0"/>
        <w:ind w:left="720" w:hanging="720"/>
      </w:pPr>
      <w:r w:rsidRPr="006B7483">
        <w:t>20.</w:t>
      </w:r>
      <w:r w:rsidRPr="006B7483">
        <w:tab/>
        <w:t xml:space="preserve">Pereira-Miranda E, Costa PRF, Queiroz VAO, Pereira-Santos M, Santana MLP. Overweight and Obesity Associated with Higher Depression Prevalence in Adults: A Systematic Review and Meta-Analysis. </w:t>
      </w:r>
      <w:r w:rsidRPr="006B7483">
        <w:rPr>
          <w:i/>
        </w:rPr>
        <w:t xml:space="preserve">J Am Coll Nutr. </w:t>
      </w:r>
      <w:r w:rsidRPr="006B7483">
        <w:t>2017;36(3):223-233.</w:t>
      </w:r>
    </w:p>
    <w:p w:rsidR="006B7483" w:rsidRPr="006B7483" w:rsidRDefault="006B7483" w:rsidP="006B7483">
      <w:pPr>
        <w:pStyle w:val="EndNoteBibliography"/>
        <w:spacing w:after="0"/>
        <w:ind w:left="720" w:hanging="720"/>
      </w:pPr>
      <w:r w:rsidRPr="006B7483">
        <w:t>21.</w:t>
      </w:r>
      <w:r w:rsidRPr="006B7483">
        <w:tab/>
        <w:t xml:space="preserve">Dawes AJ, Maggard-Gibbons M, Maher AR, et al. Mental Health Conditions Among Patients Seeking and Undergoing Bariatric Surgery: A Meta-analysis. </w:t>
      </w:r>
      <w:r w:rsidRPr="006B7483">
        <w:rPr>
          <w:i/>
        </w:rPr>
        <w:t xml:space="preserve">JAMA. </w:t>
      </w:r>
      <w:r w:rsidRPr="006B7483">
        <w:t>2016;315(2):150-163.</w:t>
      </w:r>
    </w:p>
    <w:p w:rsidR="006B7483" w:rsidRPr="006B7483" w:rsidRDefault="006B7483" w:rsidP="006B7483">
      <w:pPr>
        <w:pStyle w:val="EndNoteBibliography"/>
        <w:spacing w:after="0"/>
        <w:ind w:left="720" w:hanging="720"/>
      </w:pPr>
      <w:r w:rsidRPr="006B7483">
        <w:t>22.</w:t>
      </w:r>
      <w:r w:rsidRPr="006B7483">
        <w:tab/>
        <w:t xml:space="preserve">Ma J, Rosas LG, Lv N, et al. Effect of Integrated Behavioral Weight Loss Treatment and Problem-Solving Therapy on Body Mass Index and Depressive Symptoms Among Patients With Obesity and Depression: The RAINBOW Randomized Clinical Trial. </w:t>
      </w:r>
      <w:r w:rsidRPr="006B7483">
        <w:rPr>
          <w:i/>
        </w:rPr>
        <w:t xml:space="preserve">JAMA. </w:t>
      </w:r>
      <w:r w:rsidRPr="006B7483">
        <w:t>2019;321(9):869-879.</w:t>
      </w:r>
    </w:p>
    <w:p w:rsidR="006B7483" w:rsidRPr="006B7483" w:rsidRDefault="006B7483" w:rsidP="006B7483">
      <w:pPr>
        <w:pStyle w:val="EndNoteBibliography"/>
        <w:spacing w:after="0"/>
        <w:ind w:left="720" w:hanging="720"/>
      </w:pPr>
      <w:r w:rsidRPr="006B7483">
        <w:t>23.</w:t>
      </w:r>
      <w:r w:rsidRPr="006B7483">
        <w:tab/>
        <w:t xml:space="preserve">Courcoulas A, Abu Dayyeh BK, Eaton L, et al. Intragastric balloon as an adjunct to lifestyle intervention: a randomized controlled trial. </w:t>
      </w:r>
      <w:r w:rsidRPr="006B7483">
        <w:rPr>
          <w:i/>
        </w:rPr>
        <w:t xml:space="preserve">Int J Obes (Lond). </w:t>
      </w:r>
      <w:r w:rsidRPr="006B7483">
        <w:t>2017;41(3):427-433.</w:t>
      </w:r>
    </w:p>
    <w:p w:rsidR="006B7483" w:rsidRPr="006B7483" w:rsidRDefault="006B7483" w:rsidP="006B7483">
      <w:pPr>
        <w:pStyle w:val="EndNoteBibliography"/>
        <w:spacing w:after="0"/>
        <w:ind w:left="720" w:hanging="720"/>
      </w:pPr>
      <w:r w:rsidRPr="006B7483">
        <w:t>24.</w:t>
      </w:r>
      <w:r w:rsidRPr="006B7483">
        <w:tab/>
        <w:t xml:space="preserve">Thompson CC, Abu Dayyeh BK, Kushner R, et al. Percutaneous Gastrostomy Device for the Treatment of Class II and Class III Obesity: Results of a Randomized Controlled Trial. </w:t>
      </w:r>
      <w:r w:rsidRPr="006B7483">
        <w:rPr>
          <w:i/>
        </w:rPr>
        <w:t xml:space="preserve">Am J Gastroenterol. </w:t>
      </w:r>
      <w:r w:rsidRPr="006B7483">
        <w:t>2017;112(3):447-457.</w:t>
      </w:r>
    </w:p>
    <w:p w:rsidR="006B7483" w:rsidRPr="006B7483" w:rsidRDefault="006B7483" w:rsidP="006B7483">
      <w:pPr>
        <w:pStyle w:val="EndNoteBibliography"/>
        <w:spacing w:after="0"/>
        <w:ind w:left="720" w:hanging="720"/>
      </w:pPr>
      <w:r w:rsidRPr="006B7483">
        <w:t>25.</w:t>
      </w:r>
      <w:r w:rsidRPr="006B7483">
        <w:tab/>
        <w:t xml:space="preserve">Wing RR. Long-term effects of a lifestyle intervention on weight and cardiovascular risk factors in individuals with type 2 diabetes mellitus: four-year results of the Look AHEAD trial. </w:t>
      </w:r>
      <w:r w:rsidRPr="006B7483">
        <w:rPr>
          <w:i/>
        </w:rPr>
        <w:t xml:space="preserve">Arch Intern Med. </w:t>
      </w:r>
      <w:r w:rsidRPr="006B7483">
        <w:t>2010;170(17):1566-1575.</w:t>
      </w:r>
    </w:p>
    <w:p w:rsidR="006B7483" w:rsidRPr="006B7483" w:rsidRDefault="006B7483" w:rsidP="006B7483">
      <w:pPr>
        <w:pStyle w:val="EndNoteBibliography"/>
        <w:spacing w:after="0"/>
        <w:ind w:left="720" w:hanging="720"/>
      </w:pPr>
      <w:r w:rsidRPr="006B7483">
        <w:t>26.</w:t>
      </w:r>
      <w:r w:rsidRPr="006B7483">
        <w:tab/>
        <w:t xml:space="preserve">Gregg EW, Jakicic JM, Blackburn G, et al. Association of the magnitude of weight loss and changes in physical fitness with long-term cardiovascular disease outcomes in overweight or </w:t>
      </w:r>
      <w:r w:rsidRPr="006B7483">
        <w:lastRenderedPageBreak/>
        <w:t xml:space="preserve">obese people with type 2 diabetes: a post-hoc analysis of the Look AHEAD randomised clinical trial. </w:t>
      </w:r>
      <w:r w:rsidRPr="006B7483">
        <w:rPr>
          <w:i/>
        </w:rPr>
        <w:t xml:space="preserve">Lancet Diabetes Endocrinol. </w:t>
      </w:r>
      <w:r w:rsidRPr="006B7483">
        <w:t>2016;4(11):913-921.</w:t>
      </w:r>
    </w:p>
    <w:p w:rsidR="006B7483" w:rsidRPr="006B7483" w:rsidRDefault="006B7483" w:rsidP="006B7483">
      <w:pPr>
        <w:pStyle w:val="EndNoteBibliography"/>
        <w:ind w:left="720" w:hanging="720"/>
      </w:pPr>
      <w:r w:rsidRPr="006B7483">
        <w:t>27.</w:t>
      </w:r>
      <w:r w:rsidRPr="006B7483">
        <w:tab/>
        <w:t xml:space="preserve">Vilar-Gomez E, Martinez-Perez Y, Calzadilla-Bertot L, et al. Weight Loss Through Lifestyle Modification Significantly Reduces Features of Nonalcoholic Steatohepatitis. </w:t>
      </w:r>
      <w:r w:rsidRPr="006B7483">
        <w:rPr>
          <w:i/>
        </w:rPr>
        <w:t xml:space="preserve">Gastroenterology. </w:t>
      </w:r>
      <w:r w:rsidRPr="006B7483">
        <w:t>2015;149(2):367-378.e365; quiz e314-365.</w:t>
      </w:r>
    </w:p>
    <w:p w:rsidR="007A7CA9" w:rsidRPr="006145C7" w:rsidRDefault="007A7CA9" w:rsidP="00142F5C">
      <w:pPr>
        <w:spacing w:line="480" w:lineRule="auto"/>
        <w:rPr>
          <w:rFonts w:ascii="Arial" w:hAnsi="Arial" w:cs="Arial"/>
          <w:sz w:val="24"/>
          <w:szCs w:val="24"/>
        </w:rPr>
      </w:pPr>
    </w:p>
    <w:p w:rsidR="00C07C93" w:rsidRPr="00142F5C" w:rsidRDefault="00C07C93" w:rsidP="00142F5C">
      <w:pPr>
        <w:spacing w:line="480" w:lineRule="auto"/>
        <w:rPr>
          <w:rFonts w:ascii="Arial" w:hAnsi="Arial" w:cs="Arial"/>
          <w:sz w:val="24"/>
          <w:szCs w:val="24"/>
        </w:rPr>
      </w:pPr>
      <w:r w:rsidRPr="00142F5C">
        <w:rPr>
          <w:rFonts w:ascii="Arial" w:hAnsi="Arial" w:cs="Arial"/>
          <w:b/>
          <w:sz w:val="24"/>
          <w:szCs w:val="24"/>
        </w:rPr>
        <w:t>Figure 1</w:t>
      </w:r>
      <w:r w:rsidRPr="00142F5C">
        <w:rPr>
          <w:rFonts w:ascii="Arial" w:hAnsi="Arial" w:cs="Arial"/>
          <w:sz w:val="24"/>
          <w:szCs w:val="24"/>
        </w:rPr>
        <w:t>. CONSORT Flow Diagram</w:t>
      </w:r>
    </w:p>
    <w:p w:rsidR="00142F5C" w:rsidRPr="00142F5C" w:rsidRDefault="00142F5C" w:rsidP="00142F5C">
      <w:pPr>
        <w:spacing w:line="480" w:lineRule="auto"/>
        <w:rPr>
          <w:rFonts w:ascii="Arial" w:hAnsi="Arial" w:cs="Arial"/>
          <w:sz w:val="24"/>
          <w:szCs w:val="24"/>
        </w:rPr>
      </w:pPr>
      <w:r w:rsidRPr="00142F5C">
        <w:rPr>
          <w:rFonts w:ascii="Arial" w:hAnsi="Arial" w:cs="Arial"/>
          <w:b/>
          <w:sz w:val="24"/>
          <w:szCs w:val="24"/>
        </w:rPr>
        <w:t>Table 1.</w:t>
      </w:r>
      <w:r w:rsidRPr="00142F5C">
        <w:rPr>
          <w:rFonts w:ascii="Arial" w:hAnsi="Arial" w:cs="Arial"/>
          <w:sz w:val="24"/>
          <w:szCs w:val="24"/>
        </w:rPr>
        <w:t xml:space="preserve"> Table 1. Baseline patient demographics and characteristics, n=100. BMI: Body Mass Index, kg/m</w:t>
      </w:r>
      <w:r w:rsidRPr="00142F5C">
        <w:rPr>
          <w:rFonts w:ascii="Arial" w:hAnsi="Arial" w:cs="Arial"/>
          <w:sz w:val="24"/>
          <w:szCs w:val="24"/>
          <w:vertAlign w:val="superscript"/>
        </w:rPr>
        <w:t>2</w:t>
      </w:r>
      <w:r w:rsidRPr="00142F5C">
        <w:rPr>
          <w:rFonts w:ascii="Arial" w:hAnsi="Arial" w:cs="Arial"/>
          <w:sz w:val="24"/>
          <w:szCs w:val="24"/>
        </w:rPr>
        <w:t>: kilograms per meter squared, in: inches, lbs: pounds, SD: Standard Deviation</w:t>
      </w:r>
    </w:p>
    <w:p w:rsidR="004636FA" w:rsidRDefault="00142F5C" w:rsidP="00142F5C">
      <w:pPr>
        <w:spacing w:line="480" w:lineRule="auto"/>
        <w:rPr>
          <w:rFonts w:ascii="Arial" w:hAnsi="Arial" w:cs="Arial"/>
          <w:sz w:val="24"/>
          <w:szCs w:val="24"/>
        </w:rPr>
      </w:pPr>
      <w:r w:rsidRPr="00142F5C">
        <w:rPr>
          <w:rFonts w:ascii="Arial" w:hAnsi="Arial" w:cs="Arial"/>
          <w:b/>
          <w:sz w:val="24"/>
          <w:szCs w:val="24"/>
        </w:rPr>
        <w:t>Table 2.</w:t>
      </w:r>
      <w:r w:rsidRPr="00142F5C">
        <w:rPr>
          <w:rFonts w:ascii="Arial" w:hAnsi="Arial" w:cs="Arial"/>
          <w:sz w:val="24"/>
          <w:szCs w:val="24"/>
        </w:rPr>
        <w:t xml:space="preserve"> Device or Procedure Related non-serious adverse events reported in n=100 patients</w:t>
      </w:r>
    </w:p>
    <w:p w:rsidR="00A1132F" w:rsidRDefault="00A1132F" w:rsidP="00FB3368">
      <w:pPr>
        <w:rPr>
          <w:rFonts w:ascii="Arial" w:hAnsi="Arial" w:cs="Arial"/>
        </w:rPr>
      </w:pPr>
    </w:p>
    <w:p w:rsidR="00A1132F" w:rsidRPr="006E01E4" w:rsidRDefault="000047AB" w:rsidP="00FB3368">
      <w:pPr>
        <w:rPr>
          <w:rFonts w:ascii="Arial" w:hAnsi="Arial" w:cs="Arial"/>
        </w:rPr>
      </w:pPr>
      <w:r w:rsidRPr="006E01E4">
        <w:rPr>
          <w:rFonts w:ascii="Arial" w:hAnsi="Arial" w:cs="Arial"/>
        </w:rPr>
        <w:t>Table 1. Baseline patient demographics and characteristics, n=100</w:t>
      </w:r>
    </w:p>
    <w:tbl>
      <w:tblPr>
        <w:tblW w:w="0" w:type="auto"/>
        <w:jc w:val="center"/>
        <w:tblLayout w:type="fixed"/>
        <w:tblCellMar>
          <w:left w:w="0" w:type="dxa"/>
          <w:right w:w="0" w:type="dxa"/>
        </w:tblCellMar>
        <w:tblLook w:val="0000"/>
      </w:tblPr>
      <w:tblGrid>
        <w:gridCol w:w="4426"/>
        <w:gridCol w:w="4442"/>
      </w:tblGrid>
      <w:tr w:rsidR="00FB3368" w:rsidRPr="006E01E4" w:rsidTr="00576967">
        <w:trPr>
          <w:cantSplit/>
          <w:trHeight w:val="921"/>
          <w:tblHeader/>
          <w:jc w:val="center"/>
        </w:trPr>
        <w:tc>
          <w:tcPr>
            <w:tcW w:w="4426" w:type="dxa"/>
            <w:tcBorders>
              <w:top w:val="single" w:sz="4" w:space="0" w:color="auto"/>
              <w:bottom w:val="single" w:sz="4" w:space="0" w:color="auto"/>
            </w:tcBorders>
            <w:shd w:val="clear" w:color="auto" w:fill="BFBFBF"/>
            <w:tcMar>
              <w:left w:w="29" w:type="dxa"/>
              <w:right w:w="29" w:type="dxa"/>
            </w:tcMar>
          </w:tcPr>
          <w:p w:rsidR="00FB3368" w:rsidRPr="006E01E4" w:rsidRDefault="00FB3368" w:rsidP="00576967">
            <w:pPr>
              <w:keepNext/>
              <w:adjustRightInd w:val="0"/>
              <w:spacing w:before="29" w:after="29"/>
              <w:jc w:val="center"/>
              <w:rPr>
                <w:rFonts w:ascii="Arial" w:hAnsi="Arial" w:cs="Arial"/>
                <w:b/>
                <w:bCs/>
                <w:color w:val="000000"/>
              </w:rPr>
            </w:pPr>
            <w:r w:rsidRPr="006E01E4">
              <w:rPr>
                <w:rFonts w:ascii="Arial" w:hAnsi="Arial" w:cs="Arial"/>
                <w:b/>
                <w:bCs/>
                <w:color w:val="000000"/>
              </w:rPr>
              <w:t>Baseline</w:t>
            </w:r>
          </w:p>
        </w:tc>
        <w:tc>
          <w:tcPr>
            <w:tcW w:w="4442" w:type="dxa"/>
            <w:tcBorders>
              <w:top w:val="single" w:sz="4" w:space="0" w:color="auto"/>
              <w:bottom w:val="single" w:sz="4" w:space="0" w:color="auto"/>
            </w:tcBorders>
            <w:shd w:val="clear" w:color="auto" w:fill="BFBFBF"/>
            <w:tcMar>
              <w:left w:w="29" w:type="dxa"/>
              <w:right w:w="29" w:type="dxa"/>
            </w:tcMar>
          </w:tcPr>
          <w:p w:rsidR="00FB3368" w:rsidRPr="006E01E4" w:rsidRDefault="00FB3368" w:rsidP="00576967">
            <w:pPr>
              <w:keepNext/>
              <w:adjustRightInd w:val="0"/>
              <w:spacing w:before="29" w:after="29"/>
              <w:jc w:val="center"/>
              <w:rPr>
                <w:rFonts w:ascii="Arial" w:hAnsi="Arial" w:cs="Arial"/>
                <w:b/>
                <w:bCs/>
                <w:color w:val="000000"/>
              </w:rPr>
            </w:pPr>
            <w:r w:rsidRPr="006E01E4">
              <w:rPr>
                <w:rFonts w:ascii="Arial" w:hAnsi="Arial" w:cs="Arial"/>
                <w:b/>
                <w:bCs/>
                <w:color w:val="000000"/>
              </w:rPr>
              <w:t>Mean ± SD</w:t>
            </w:r>
            <w:r w:rsidRPr="006E01E4">
              <w:rPr>
                <w:rFonts w:ascii="Arial" w:hAnsi="Arial" w:cs="Arial"/>
                <w:b/>
                <w:bCs/>
                <w:color w:val="000000"/>
              </w:rPr>
              <w:br/>
              <w:t>(Minimum, Maximum)</w:t>
            </w:r>
            <w:r w:rsidRPr="006E01E4">
              <w:rPr>
                <w:rFonts w:ascii="Arial" w:hAnsi="Arial" w:cs="Arial"/>
                <w:b/>
                <w:bCs/>
                <w:color w:val="000000"/>
              </w:rPr>
              <w:br/>
              <w:t>Or Patients (% of Total)</w:t>
            </w:r>
          </w:p>
        </w:tc>
      </w:tr>
      <w:tr w:rsidR="00FB3368" w:rsidRPr="006E01E4" w:rsidTr="00576967">
        <w:trPr>
          <w:cantSplit/>
          <w:trHeight w:val="508"/>
          <w:jc w:val="center"/>
        </w:trPr>
        <w:tc>
          <w:tcPr>
            <w:tcW w:w="4426" w:type="dxa"/>
            <w:tcBorders>
              <w:top w:val="single" w:sz="4" w:space="0" w:color="auto"/>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Age (years)</w:t>
            </w:r>
          </w:p>
        </w:tc>
        <w:tc>
          <w:tcPr>
            <w:tcW w:w="4442" w:type="dxa"/>
            <w:tcBorders>
              <w:top w:val="single" w:sz="4" w:space="0" w:color="auto"/>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 xml:space="preserve">43.2 ± 10.2 </w:t>
            </w:r>
          </w:p>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 xml:space="preserve"> [21.0, 67.0]</w:t>
            </w:r>
          </w:p>
        </w:tc>
      </w:tr>
      <w:tr w:rsidR="00FB3368" w:rsidRPr="006E01E4" w:rsidTr="00576967">
        <w:trPr>
          <w:cantSplit/>
          <w:trHeight w:val="342"/>
          <w:jc w:val="center"/>
        </w:trPr>
        <w:tc>
          <w:tcPr>
            <w:tcW w:w="4426"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Female</w:t>
            </w:r>
          </w:p>
        </w:tc>
        <w:tc>
          <w:tcPr>
            <w:tcW w:w="4442"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75 (75.0%)</w:t>
            </w:r>
          </w:p>
        </w:tc>
      </w:tr>
      <w:tr w:rsidR="00FB3368" w:rsidRPr="006E01E4" w:rsidTr="00576967">
        <w:trPr>
          <w:cantSplit/>
          <w:trHeight w:val="356"/>
          <w:jc w:val="center"/>
        </w:trPr>
        <w:tc>
          <w:tcPr>
            <w:tcW w:w="4426"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Not Hispanic or Latino</w:t>
            </w:r>
          </w:p>
        </w:tc>
        <w:tc>
          <w:tcPr>
            <w:tcW w:w="4442"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77 (77.0%)</w:t>
            </w:r>
          </w:p>
        </w:tc>
      </w:tr>
      <w:tr w:rsidR="00FB3368" w:rsidRPr="006E01E4" w:rsidTr="00576967">
        <w:trPr>
          <w:cantSplit/>
          <w:trHeight w:val="342"/>
          <w:jc w:val="center"/>
        </w:trPr>
        <w:tc>
          <w:tcPr>
            <w:tcW w:w="4426"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White</w:t>
            </w:r>
          </w:p>
        </w:tc>
        <w:tc>
          <w:tcPr>
            <w:tcW w:w="4442"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87 (87.0%)</w:t>
            </w:r>
          </w:p>
        </w:tc>
      </w:tr>
      <w:tr w:rsidR="00FB3368" w:rsidRPr="006E01E4" w:rsidTr="00576967">
        <w:trPr>
          <w:cantSplit/>
          <w:trHeight w:val="639"/>
          <w:jc w:val="center"/>
        </w:trPr>
        <w:tc>
          <w:tcPr>
            <w:tcW w:w="4426"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Height (in)</w:t>
            </w:r>
          </w:p>
        </w:tc>
        <w:tc>
          <w:tcPr>
            <w:tcW w:w="4442"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 xml:space="preserve">66.1 ± 4.3 </w:t>
            </w:r>
            <w:r w:rsidRPr="006E01E4">
              <w:rPr>
                <w:rFonts w:ascii="Arial" w:hAnsi="Arial" w:cs="Arial"/>
                <w:color w:val="000000"/>
              </w:rPr>
              <w:br/>
              <w:t>[57.5, 80.0]</w:t>
            </w:r>
          </w:p>
        </w:tc>
      </w:tr>
      <w:tr w:rsidR="00FB3368" w:rsidRPr="006E01E4" w:rsidTr="00576967">
        <w:trPr>
          <w:cantSplit/>
          <w:trHeight w:val="639"/>
          <w:jc w:val="center"/>
        </w:trPr>
        <w:tc>
          <w:tcPr>
            <w:tcW w:w="4426"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Starting weight (lbs)</w:t>
            </w:r>
          </w:p>
        </w:tc>
        <w:tc>
          <w:tcPr>
            <w:tcW w:w="4442" w:type="dxa"/>
            <w:tcBorders>
              <w:top w:val="nil"/>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220.4 ± 38.3</w:t>
            </w:r>
            <w:r w:rsidRPr="006E01E4">
              <w:rPr>
                <w:rFonts w:ascii="Arial" w:hAnsi="Arial" w:cs="Arial"/>
                <w:color w:val="000000"/>
              </w:rPr>
              <w:br/>
              <w:t>[157.0, 331.0]</w:t>
            </w:r>
          </w:p>
        </w:tc>
      </w:tr>
      <w:tr w:rsidR="00FB3368" w:rsidRPr="006E01E4" w:rsidTr="00576967">
        <w:trPr>
          <w:cantSplit/>
          <w:trHeight w:val="639"/>
          <w:jc w:val="center"/>
        </w:trPr>
        <w:tc>
          <w:tcPr>
            <w:tcW w:w="4426" w:type="dxa"/>
            <w:tcBorders>
              <w:top w:val="nil"/>
            </w:tcBorders>
            <w:shd w:val="clear" w:color="auto" w:fill="FFFFFF"/>
            <w:tcMar>
              <w:left w:w="29" w:type="dxa"/>
              <w:right w:w="29" w:type="dxa"/>
            </w:tcMar>
          </w:tcPr>
          <w:p w:rsidR="00FB3368" w:rsidRPr="006E01E4" w:rsidRDefault="00FB3368" w:rsidP="00576967">
            <w:pPr>
              <w:keepNext/>
              <w:adjustRightInd w:val="0"/>
              <w:spacing w:before="29" w:after="29"/>
              <w:jc w:val="center"/>
              <w:rPr>
                <w:rFonts w:ascii="Arial" w:hAnsi="Arial" w:cs="Arial"/>
                <w:color w:val="000000"/>
              </w:rPr>
            </w:pPr>
            <w:r w:rsidRPr="006E01E4">
              <w:rPr>
                <w:rFonts w:ascii="Arial" w:hAnsi="Arial" w:cs="Arial"/>
                <w:color w:val="000000"/>
              </w:rPr>
              <w:t>Starting BMI (kg/m²)</w:t>
            </w:r>
          </w:p>
        </w:tc>
        <w:tc>
          <w:tcPr>
            <w:tcW w:w="4442" w:type="dxa"/>
            <w:tcBorders>
              <w:top w:val="nil"/>
            </w:tcBorders>
            <w:shd w:val="clear" w:color="auto" w:fill="FFFFFF"/>
            <w:tcMar>
              <w:left w:w="29" w:type="dxa"/>
              <w:right w:w="29" w:type="dxa"/>
            </w:tcMar>
          </w:tcPr>
          <w:p w:rsidR="00FB3368" w:rsidRPr="006E01E4" w:rsidRDefault="00FB3368" w:rsidP="00576967">
            <w:pPr>
              <w:keepNext/>
              <w:adjustRightInd w:val="0"/>
              <w:spacing w:before="29" w:after="29"/>
              <w:jc w:val="center"/>
              <w:rPr>
                <w:rFonts w:ascii="Arial" w:hAnsi="Arial" w:cs="Arial"/>
                <w:color w:val="000000"/>
              </w:rPr>
            </w:pPr>
            <w:r w:rsidRPr="006E01E4">
              <w:rPr>
                <w:rFonts w:ascii="Arial" w:hAnsi="Arial" w:cs="Arial"/>
                <w:color w:val="000000"/>
              </w:rPr>
              <w:t xml:space="preserve">35.2 ± 3.1 </w:t>
            </w:r>
            <w:r w:rsidRPr="006E01E4">
              <w:rPr>
                <w:rFonts w:ascii="Arial" w:hAnsi="Arial" w:cs="Arial"/>
                <w:color w:val="000000"/>
              </w:rPr>
              <w:br/>
              <w:t>[30.1, 41.8]</w:t>
            </w:r>
          </w:p>
        </w:tc>
      </w:tr>
      <w:tr w:rsidR="00FB3368" w:rsidRPr="006E01E4" w:rsidTr="00576967">
        <w:trPr>
          <w:cantSplit/>
          <w:trHeight w:val="639"/>
          <w:jc w:val="center"/>
        </w:trPr>
        <w:tc>
          <w:tcPr>
            <w:tcW w:w="4426" w:type="dxa"/>
            <w:tcBorders>
              <w:top w:val="nil"/>
              <w:bottom w:val="single" w:sz="4" w:space="0" w:color="auto"/>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Starting excess weight (lbs)</w:t>
            </w:r>
          </w:p>
        </w:tc>
        <w:tc>
          <w:tcPr>
            <w:tcW w:w="4442" w:type="dxa"/>
            <w:tcBorders>
              <w:top w:val="nil"/>
              <w:bottom w:val="single" w:sz="4" w:space="0" w:color="auto"/>
            </w:tcBorders>
            <w:shd w:val="clear" w:color="auto" w:fill="FFFFFF"/>
            <w:tcMar>
              <w:left w:w="29" w:type="dxa"/>
              <w:right w:w="29" w:type="dxa"/>
            </w:tcMar>
          </w:tcPr>
          <w:p w:rsidR="00FB3368" w:rsidRPr="006E01E4" w:rsidRDefault="00FB3368" w:rsidP="00576967">
            <w:pPr>
              <w:adjustRightInd w:val="0"/>
              <w:spacing w:before="29" w:after="29"/>
              <w:jc w:val="center"/>
              <w:rPr>
                <w:rFonts w:ascii="Arial" w:hAnsi="Arial" w:cs="Arial"/>
                <w:color w:val="000000"/>
              </w:rPr>
            </w:pPr>
            <w:r w:rsidRPr="006E01E4">
              <w:rPr>
                <w:rFonts w:ascii="Arial" w:hAnsi="Arial" w:cs="Arial"/>
                <w:color w:val="000000"/>
              </w:rPr>
              <w:t xml:space="preserve">64.3 ± 22.6 </w:t>
            </w:r>
            <w:r w:rsidRPr="006E01E4">
              <w:rPr>
                <w:rFonts w:ascii="Arial" w:hAnsi="Arial" w:cs="Arial"/>
                <w:color w:val="000000"/>
              </w:rPr>
              <w:br/>
              <w:t>[29.6, 122.9]</w:t>
            </w:r>
          </w:p>
        </w:tc>
      </w:tr>
    </w:tbl>
    <w:p w:rsidR="00FB3368" w:rsidRDefault="00FB3368" w:rsidP="00FB3368">
      <w:pPr>
        <w:rPr>
          <w:rFonts w:ascii="Arial" w:hAnsi="Arial" w:cs="Arial"/>
        </w:rPr>
      </w:pPr>
      <w:r>
        <w:rPr>
          <w:rFonts w:ascii="Arial" w:hAnsi="Arial" w:cs="Arial"/>
        </w:rPr>
        <w:t>BMI: Body Mass Index, kg/m</w:t>
      </w:r>
      <w:r w:rsidRPr="003F744C">
        <w:rPr>
          <w:rFonts w:ascii="Arial" w:hAnsi="Arial" w:cs="Arial"/>
          <w:vertAlign w:val="superscript"/>
        </w:rPr>
        <w:t>2</w:t>
      </w:r>
      <w:r>
        <w:rPr>
          <w:rFonts w:ascii="Arial" w:hAnsi="Arial" w:cs="Arial"/>
        </w:rPr>
        <w:t>: kilograms per meter squared, in: inches, lbs: pounds, SD: Standard Deviation</w:t>
      </w:r>
    </w:p>
    <w:p w:rsidR="000047AB" w:rsidRDefault="000047AB" w:rsidP="00FB3368">
      <w:pPr>
        <w:rPr>
          <w:rFonts w:ascii="Arial" w:hAnsi="Arial" w:cs="Arial"/>
        </w:rPr>
      </w:pPr>
    </w:p>
    <w:p w:rsidR="000047AB" w:rsidRDefault="000047AB" w:rsidP="00FB3368">
      <w:pPr>
        <w:rPr>
          <w:rFonts w:ascii="Arial" w:hAnsi="Arial" w:cs="Arial"/>
        </w:rPr>
      </w:pPr>
      <w:r>
        <w:rPr>
          <w:rFonts w:ascii="Arial" w:hAnsi="Arial" w:cs="Arial"/>
        </w:rPr>
        <w:t>Table 2. Predictors of weight loss at balloon removal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2"/>
        <w:gridCol w:w="2264"/>
        <w:gridCol w:w="2227"/>
        <w:gridCol w:w="1193"/>
        <w:gridCol w:w="1194"/>
      </w:tblGrid>
      <w:tr w:rsidR="000047AB" w:rsidTr="000047AB">
        <w:tc>
          <w:tcPr>
            <w:tcW w:w="2472" w:type="dxa"/>
            <w:tcBorders>
              <w:top w:val="single" w:sz="4" w:space="0" w:color="auto"/>
              <w:bottom w:val="single" w:sz="4" w:space="0" w:color="auto"/>
            </w:tcBorders>
            <w:shd w:val="clear" w:color="auto" w:fill="AEAAAA" w:themeFill="background2" w:themeFillShade="BF"/>
          </w:tcPr>
          <w:p w:rsidR="000047AB" w:rsidRPr="000047AB" w:rsidRDefault="000047AB" w:rsidP="000047AB">
            <w:pPr>
              <w:jc w:val="center"/>
              <w:rPr>
                <w:rFonts w:ascii="Arial" w:hAnsi="Arial" w:cs="Arial"/>
                <w:b/>
              </w:rPr>
            </w:pPr>
            <w:r w:rsidRPr="000047AB">
              <w:rPr>
                <w:rFonts w:ascii="Arial" w:hAnsi="Arial" w:cs="Arial"/>
                <w:b/>
              </w:rPr>
              <w:t>Variable</w:t>
            </w:r>
          </w:p>
        </w:tc>
        <w:tc>
          <w:tcPr>
            <w:tcW w:w="2264" w:type="dxa"/>
            <w:tcBorders>
              <w:top w:val="single" w:sz="4" w:space="0" w:color="auto"/>
              <w:bottom w:val="single" w:sz="4" w:space="0" w:color="auto"/>
            </w:tcBorders>
            <w:shd w:val="clear" w:color="auto" w:fill="AEAAAA" w:themeFill="background2" w:themeFillShade="BF"/>
          </w:tcPr>
          <w:p w:rsidR="000047AB" w:rsidRPr="000047AB" w:rsidRDefault="000047AB" w:rsidP="000047AB">
            <w:pPr>
              <w:jc w:val="center"/>
              <w:rPr>
                <w:rFonts w:ascii="Arial" w:hAnsi="Arial" w:cs="Arial"/>
                <w:b/>
              </w:rPr>
            </w:pPr>
            <w:r w:rsidRPr="000047AB">
              <w:rPr>
                <w:rFonts w:ascii="Arial" w:hAnsi="Arial" w:cs="Arial"/>
                <w:b/>
              </w:rPr>
              <w:t>β</w:t>
            </w:r>
          </w:p>
        </w:tc>
        <w:tc>
          <w:tcPr>
            <w:tcW w:w="2227" w:type="dxa"/>
            <w:tcBorders>
              <w:top w:val="single" w:sz="4" w:space="0" w:color="auto"/>
              <w:bottom w:val="single" w:sz="4" w:space="0" w:color="auto"/>
            </w:tcBorders>
            <w:shd w:val="clear" w:color="auto" w:fill="AEAAAA" w:themeFill="background2" w:themeFillShade="BF"/>
          </w:tcPr>
          <w:p w:rsidR="000047AB" w:rsidRPr="000047AB" w:rsidRDefault="000047AB" w:rsidP="000047AB">
            <w:pPr>
              <w:jc w:val="center"/>
              <w:rPr>
                <w:rFonts w:ascii="Arial" w:hAnsi="Arial" w:cs="Arial"/>
                <w:b/>
              </w:rPr>
            </w:pPr>
            <w:r w:rsidRPr="000047AB">
              <w:rPr>
                <w:rFonts w:ascii="Arial" w:hAnsi="Arial" w:cs="Arial"/>
                <w:b/>
              </w:rPr>
              <w:t>p-value</w:t>
            </w:r>
          </w:p>
        </w:tc>
        <w:tc>
          <w:tcPr>
            <w:tcW w:w="2387" w:type="dxa"/>
            <w:gridSpan w:val="2"/>
            <w:tcBorders>
              <w:top w:val="single" w:sz="4" w:space="0" w:color="auto"/>
              <w:bottom w:val="single" w:sz="4" w:space="0" w:color="auto"/>
            </w:tcBorders>
            <w:shd w:val="clear" w:color="auto" w:fill="AEAAAA" w:themeFill="background2" w:themeFillShade="BF"/>
          </w:tcPr>
          <w:p w:rsidR="000047AB" w:rsidRPr="000047AB" w:rsidRDefault="000047AB" w:rsidP="000047AB">
            <w:pPr>
              <w:jc w:val="center"/>
              <w:rPr>
                <w:rFonts w:ascii="Arial" w:hAnsi="Arial" w:cs="Arial"/>
                <w:b/>
              </w:rPr>
            </w:pPr>
            <w:r w:rsidRPr="000047AB">
              <w:rPr>
                <w:rFonts w:ascii="Arial" w:hAnsi="Arial" w:cs="Arial"/>
                <w:b/>
              </w:rPr>
              <w:t>95% Confidence limits</w:t>
            </w:r>
          </w:p>
        </w:tc>
      </w:tr>
      <w:tr w:rsidR="000047AB" w:rsidTr="000047AB">
        <w:tc>
          <w:tcPr>
            <w:tcW w:w="2472" w:type="dxa"/>
            <w:tcBorders>
              <w:top w:val="single" w:sz="4" w:space="0" w:color="auto"/>
            </w:tcBorders>
          </w:tcPr>
          <w:p w:rsidR="000047AB" w:rsidRDefault="000047AB" w:rsidP="000047AB">
            <w:pPr>
              <w:rPr>
                <w:rFonts w:ascii="Arial" w:hAnsi="Arial" w:cs="Arial"/>
              </w:rPr>
            </w:pPr>
            <w:r>
              <w:rPr>
                <w:rFonts w:ascii="Arial" w:hAnsi="Arial" w:cs="Arial"/>
              </w:rPr>
              <w:t>Gender (Female)</w:t>
            </w:r>
          </w:p>
        </w:tc>
        <w:tc>
          <w:tcPr>
            <w:tcW w:w="2264" w:type="dxa"/>
            <w:tcBorders>
              <w:top w:val="single" w:sz="4" w:space="0" w:color="auto"/>
            </w:tcBorders>
            <w:shd w:val="clear" w:color="auto" w:fill="FFFFFF"/>
            <w:vAlign w:val="center"/>
          </w:tcPr>
          <w:p w:rsidR="000047AB" w:rsidRDefault="000047AB" w:rsidP="000047AB">
            <w:pPr>
              <w:rPr>
                <w:rFonts w:ascii="Arial" w:hAnsi="Arial" w:cs="Arial"/>
              </w:rPr>
            </w:pPr>
            <w:r>
              <w:rPr>
                <w:rFonts w:ascii="Arial" w:hAnsi="Arial" w:cs="Arial"/>
                <w:color w:val="000000"/>
                <w:sz w:val="20"/>
                <w:szCs w:val="20"/>
              </w:rPr>
              <w:t>1.64</w:t>
            </w:r>
          </w:p>
        </w:tc>
        <w:tc>
          <w:tcPr>
            <w:tcW w:w="2227" w:type="dxa"/>
            <w:tcBorders>
              <w:top w:val="single" w:sz="4" w:space="0" w:color="auto"/>
            </w:tcBorders>
            <w:shd w:val="clear" w:color="auto" w:fill="FFFFFF"/>
            <w:vAlign w:val="center"/>
          </w:tcPr>
          <w:p w:rsidR="000047AB" w:rsidRDefault="000047AB" w:rsidP="000047AB">
            <w:pPr>
              <w:rPr>
                <w:rFonts w:ascii="Arial" w:hAnsi="Arial" w:cs="Arial"/>
              </w:rPr>
            </w:pPr>
            <w:r>
              <w:rPr>
                <w:rFonts w:ascii="Arial" w:hAnsi="Arial" w:cs="Arial"/>
                <w:color w:val="000000"/>
                <w:sz w:val="20"/>
                <w:szCs w:val="20"/>
              </w:rPr>
              <w:t>0.2286</w:t>
            </w:r>
          </w:p>
        </w:tc>
        <w:tc>
          <w:tcPr>
            <w:tcW w:w="1193" w:type="dxa"/>
            <w:tcBorders>
              <w:top w:val="single" w:sz="4" w:space="0" w:color="auto"/>
            </w:tcBorders>
            <w:shd w:val="clear" w:color="auto" w:fill="FFFFFF"/>
            <w:vAlign w:val="center"/>
          </w:tcPr>
          <w:p w:rsidR="000047AB" w:rsidRDefault="000047AB" w:rsidP="000047AB">
            <w:pPr>
              <w:rPr>
                <w:rFonts w:ascii="Arial" w:hAnsi="Arial" w:cs="Arial"/>
              </w:rPr>
            </w:pPr>
            <w:r>
              <w:rPr>
                <w:rFonts w:ascii="Arial" w:hAnsi="Arial" w:cs="Arial"/>
                <w:color w:val="000000"/>
                <w:sz w:val="20"/>
                <w:szCs w:val="20"/>
              </w:rPr>
              <w:t>-1.05</w:t>
            </w:r>
          </w:p>
        </w:tc>
        <w:tc>
          <w:tcPr>
            <w:tcW w:w="1194" w:type="dxa"/>
            <w:tcBorders>
              <w:top w:val="single" w:sz="4" w:space="0" w:color="auto"/>
            </w:tcBorders>
            <w:shd w:val="clear" w:color="auto" w:fill="FFFFFF"/>
            <w:vAlign w:val="center"/>
          </w:tcPr>
          <w:p w:rsidR="000047AB" w:rsidRDefault="000047AB" w:rsidP="000047AB">
            <w:pPr>
              <w:rPr>
                <w:rFonts w:ascii="Arial" w:hAnsi="Arial" w:cs="Arial"/>
              </w:rPr>
            </w:pPr>
            <w:r>
              <w:rPr>
                <w:rFonts w:ascii="Arial" w:hAnsi="Arial" w:cs="Arial"/>
                <w:color w:val="000000"/>
                <w:sz w:val="20"/>
                <w:szCs w:val="20"/>
              </w:rPr>
              <w:t>4.32</w:t>
            </w:r>
          </w:p>
        </w:tc>
      </w:tr>
      <w:tr w:rsidR="000047AB" w:rsidTr="000047AB">
        <w:tc>
          <w:tcPr>
            <w:tcW w:w="2472" w:type="dxa"/>
          </w:tcPr>
          <w:p w:rsidR="000047AB" w:rsidRDefault="000047AB" w:rsidP="000047AB">
            <w:pPr>
              <w:rPr>
                <w:rFonts w:ascii="Arial" w:hAnsi="Arial" w:cs="Arial"/>
              </w:rPr>
            </w:pPr>
            <w:r>
              <w:rPr>
                <w:rFonts w:ascii="Arial" w:hAnsi="Arial" w:cs="Arial"/>
              </w:rPr>
              <w:t>Age (years)</w:t>
            </w:r>
          </w:p>
        </w:tc>
        <w:tc>
          <w:tcPr>
            <w:tcW w:w="226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0.05</w:t>
            </w:r>
          </w:p>
        </w:tc>
        <w:tc>
          <w:tcPr>
            <w:tcW w:w="2227"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0.3451</w:t>
            </w:r>
          </w:p>
        </w:tc>
        <w:tc>
          <w:tcPr>
            <w:tcW w:w="1193"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-0.06</w:t>
            </w:r>
          </w:p>
        </w:tc>
        <w:tc>
          <w:tcPr>
            <w:tcW w:w="119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0.16</w:t>
            </w:r>
          </w:p>
        </w:tc>
      </w:tr>
      <w:tr w:rsidR="000047AB" w:rsidTr="000047AB">
        <w:tc>
          <w:tcPr>
            <w:tcW w:w="2472" w:type="dxa"/>
          </w:tcPr>
          <w:p w:rsidR="000047AB" w:rsidRDefault="000047AB" w:rsidP="000047AB">
            <w:pPr>
              <w:rPr>
                <w:rFonts w:ascii="Arial" w:hAnsi="Arial" w:cs="Arial"/>
              </w:rPr>
            </w:pPr>
            <w:r>
              <w:rPr>
                <w:rFonts w:ascii="Arial" w:hAnsi="Arial" w:cs="Arial"/>
              </w:rPr>
              <w:t>Baseline BMI</w:t>
            </w:r>
          </w:p>
        </w:tc>
        <w:tc>
          <w:tcPr>
            <w:tcW w:w="226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-0.16</w:t>
            </w:r>
          </w:p>
        </w:tc>
        <w:tc>
          <w:tcPr>
            <w:tcW w:w="2227"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0.3928</w:t>
            </w:r>
          </w:p>
        </w:tc>
        <w:tc>
          <w:tcPr>
            <w:tcW w:w="1193"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-0.53</w:t>
            </w:r>
          </w:p>
        </w:tc>
        <w:tc>
          <w:tcPr>
            <w:tcW w:w="119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0.21</w:t>
            </w:r>
          </w:p>
        </w:tc>
      </w:tr>
      <w:tr w:rsidR="000047AB" w:rsidTr="000047AB">
        <w:tc>
          <w:tcPr>
            <w:tcW w:w="2472" w:type="dxa"/>
          </w:tcPr>
          <w:p w:rsidR="000047AB" w:rsidRDefault="000047AB" w:rsidP="000047AB">
            <w:pPr>
              <w:rPr>
                <w:rFonts w:ascii="Arial" w:hAnsi="Arial" w:cs="Arial"/>
              </w:rPr>
            </w:pPr>
            <w:r>
              <w:rPr>
                <w:rFonts w:ascii="Arial" w:hAnsi="Arial" w:cs="Arial"/>
              </w:rPr>
              <w:t>Multiple Balloon (yes)</w:t>
            </w:r>
          </w:p>
        </w:tc>
        <w:tc>
          <w:tcPr>
            <w:tcW w:w="226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5.76</w:t>
            </w:r>
          </w:p>
        </w:tc>
        <w:tc>
          <w:tcPr>
            <w:tcW w:w="2227"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0.1771</w:t>
            </w:r>
          </w:p>
        </w:tc>
        <w:tc>
          <w:tcPr>
            <w:tcW w:w="1193"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-2.65</w:t>
            </w:r>
          </w:p>
        </w:tc>
        <w:tc>
          <w:tcPr>
            <w:tcW w:w="119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14.16</w:t>
            </w:r>
          </w:p>
        </w:tc>
      </w:tr>
      <w:tr w:rsidR="000047AB" w:rsidTr="000047AB">
        <w:tc>
          <w:tcPr>
            <w:tcW w:w="2472" w:type="dxa"/>
          </w:tcPr>
          <w:p w:rsidR="000047AB" w:rsidRDefault="000047AB" w:rsidP="000047AB">
            <w:pPr>
              <w:rPr>
                <w:rFonts w:ascii="Arial" w:hAnsi="Arial" w:cs="Arial"/>
              </w:rPr>
            </w:pPr>
            <w:r>
              <w:rPr>
                <w:rFonts w:ascii="Arial" w:hAnsi="Arial" w:cs="Arial"/>
              </w:rPr>
              <w:t>GERD</w:t>
            </w:r>
            <w:r w:rsidR="00753108">
              <w:rPr>
                <w:rFonts w:ascii="Arial" w:hAnsi="Arial" w:cs="Arial"/>
              </w:rPr>
              <w:t xml:space="preserve"> (yes)</w:t>
            </w:r>
          </w:p>
        </w:tc>
        <w:tc>
          <w:tcPr>
            <w:tcW w:w="226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-0.20</w:t>
            </w:r>
          </w:p>
        </w:tc>
        <w:tc>
          <w:tcPr>
            <w:tcW w:w="2227"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0.9004</w:t>
            </w:r>
          </w:p>
        </w:tc>
        <w:tc>
          <w:tcPr>
            <w:tcW w:w="1193"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-3.32</w:t>
            </w:r>
          </w:p>
        </w:tc>
        <w:tc>
          <w:tcPr>
            <w:tcW w:w="1194" w:type="dxa"/>
            <w:shd w:val="clear" w:color="auto" w:fill="FFFFFF"/>
            <w:vAlign w:val="center"/>
          </w:tcPr>
          <w:p w:rsidR="000047AB" w:rsidRDefault="000047AB" w:rsidP="000047AB">
            <w:pPr>
              <w:rPr>
                <w:rFonts w:ascii="Arial" w:hAnsi="Arial" w:cs="Arial"/>
              </w:rPr>
            </w:pPr>
            <w:r>
              <w:rPr>
                <w:rFonts w:ascii="Arial" w:hAnsi="Arial" w:cs="Arial"/>
                <w:color w:val="000000"/>
                <w:sz w:val="20"/>
                <w:szCs w:val="20"/>
              </w:rPr>
              <w:t>2.92</w:t>
            </w:r>
          </w:p>
        </w:tc>
      </w:tr>
      <w:tr w:rsidR="000047AB" w:rsidTr="000047AB">
        <w:tc>
          <w:tcPr>
            <w:tcW w:w="2472" w:type="dxa"/>
          </w:tcPr>
          <w:p w:rsidR="000047AB" w:rsidRDefault="000047AB" w:rsidP="000047AB">
            <w:pPr>
              <w:rPr>
                <w:rFonts w:ascii="Arial" w:hAnsi="Arial" w:cs="Arial"/>
              </w:rPr>
            </w:pPr>
            <w:r>
              <w:rPr>
                <w:rFonts w:ascii="Arial" w:hAnsi="Arial" w:cs="Arial"/>
              </w:rPr>
              <w:t>Depression (yes)</w:t>
            </w:r>
          </w:p>
        </w:tc>
        <w:tc>
          <w:tcPr>
            <w:tcW w:w="2264" w:type="dxa"/>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-5.78</w:t>
            </w:r>
          </w:p>
        </w:tc>
        <w:tc>
          <w:tcPr>
            <w:tcW w:w="2227" w:type="dxa"/>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0.0005</w:t>
            </w:r>
          </w:p>
        </w:tc>
        <w:tc>
          <w:tcPr>
            <w:tcW w:w="1193" w:type="dxa"/>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-8.95</w:t>
            </w:r>
          </w:p>
        </w:tc>
        <w:tc>
          <w:tcPr>
            <w:tcW w:w="1194" w:type="dxa"/>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-2.61</w:t>
            </w:r>
          </w:p>
        </w:tc>
      </w:tr>
      <w:tr w:rsidR="000047AB" w:rsidTr="000047AB">
        <w:tc>
          <w:tcPr>
            <w:tcW w:w="2472" w:type="dxa"/>
            <w:tcBorders>
              <w:bottom w:val="single" w:sz="4" w:space="0" w:color="auto"/>
            </w:tcBorders>
          </w:tcPr>
          <w:p w:rsidR="000047AB" w:rsidRDefault="000047AB" w:rsidP="000047AB">
            <w:pPr>
              <w:rPr>
                <w:rFonts w:ascii="Arial" w:hAnsi="Arial" w:cs="Arial"/>
              </w:rPr>
            </w:pPr>
            <w:r>
              <w:rPr>
                <w:rFonts w:ascii="Arial" w:hAnsi="Arial" w:cs="Arial"/>
              </w:rPr>
              <w:t>Number of Counseling Sessions</w:t>
            </w:r>
          </w:p>
        </w:tc>
        <w:tc>
          <w:tcPr>
            <w:tcW w:w="2264" w:type="dxa"/>
            <w:tcBorders>
              <w:bottom w:val="single" w:sz="4" w:space="0" w:color="auto"/>
            </w:tcBorders>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0.65</w:t>
            </w:r>
          </w:p>
        </w:tc>
        <w:tc>
          <w:tcPr>
            <w:tcW w:w="2227" w:type="dxa"/>
            <w:tcBorders>
              <w:bottom w:val="single" w:sz="4" w:space="0" w:color="auto"/>
            </w:tcBorders>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0.0010</w:t>
            </w:r>
          </w:p>
        </w:tc>
        <w:tc>
          <w:tcPr>
            <w:tcW w:w="1193" w:type="dxa"/>
            <w:tcBorders>
              <w:bottom w:val="single" w:sz="4" w:space="0" w:color="auto"/>
            </w:tcBorders>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0.27</w:t>
            </w:r>
          </w:p>
        </w:tc>
        <w:tc>
          <w:tcPr>
            <w:tcW w:w="1194" w:type="dxa"/>
            <w:tcBorders>
              <w:bottom w:val="single" w:sz="4" w:space="0" w:color="auto"/>
            </w:tcBorders>
            <w:shd w:val="clear" w:color="auto" w:fill="FFFFFF"/>
            <w:vAlign w:val="center"/>
          </w:tcPr>
          <w:p w:rsidR="000047AB" w:rsidRPr="000047AB" w:rsidRDefault="000047AB" w:rsidP="000047AB">
            <w:pPr>
              <w:rPr>
                <w:rFonts w:ascii="Arial" w:hAnsi="Arial" w:cs="Arial"/>
              </w:rPr>
            </w:pPr>
            <w:r w:rsidRPr="000047AB">
              <w:rPr>
                <w:rFonts w:ascii="Arial" w:hAnsi="Arial" w:cs="Arial"/>
                <w:bCs/>
                <w:iCs/>
                <w:color w:val="000000"/>
                <w:sz w:val="20"/>
                <w:szCs w:val="20"/>
              </w:rPr>
              <w:t>1.03</w:t>
            </w:r>
          </w:p>
        </w:tc>
      </w:tr>
    </w:tbl>
    <w:p w:rsidR="000047AB" w:rsidRPr="006E01E4" w:rsidRDefault="007D5382" w:rsidP="00FB3368">
      <w:pPr>
        <w:rPr>
          <w:rFonts w:ascii="Arial" w:hAnsi="Arial" w:cs="Arial"/>
        </w:rPr>
      </w:pPr>
      <w:r>
        <w:rPr>
          <w:rFonts w:ascii="Arial" w:hAnsi="Arial" w:cs="Arial"/>
        </w:rPr>
        <w:t>BMI: Body Mass Index, kg/m</w:t>
      </w:r>
      <w:r w:rsidRPr="003F744C">
        <w:rPr>
          <w:rFonts w:ascii="Arial" w:hAnsi="Arial" w:cs="Arial"/>
          <w:vertAlign w:val="superscript"/>
        </w:rPr>
        <w:t>2</w:t>
      </w:r>
      <w:r>
        <w:rPr>
          <w:rFonts w:ascii="Arial" w:hAnsi="Arial" w:cs="Arial"/>
        </w:rPr>
        <w:t>: kilograms per meter squared, GERD: Gastroesophageal Reflux Disease</w:t>
      </w:r>
    </w:p>
    <w:p w:rsidR="00FB3368" w:rsidRDefault="00FB3368" w:rsidP="00FB3368">
      <w:pPr>
        <w:rPr>
          <w:rFonts w:ascii="Arial" w:hAnsi="Arial" w:cs="Arial"/>
        </w:rPr>
      </w:pPr>
    </w:p>
    <w:p w:rsidR="00FB3368" w:rsidRDefault="00FB3368"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A1132F" w:rsidRDefault="00A1132F" w:rsidP="00FB3368">
      <w:pPr>
        <w:rPr>
          <w:rFonts w:ascii="Arial" w:hAnsi="Arial" w:cs="Arial"/>
        </w:rPr>
      </w:pPr>
    </w:p>
    <w:p w:rsidR="00FB3368" w:rsidRPr="006E01E4" w:rsidRDefault="00FB3368" w:rsidP="00FB3368">
      <w:pPr>
        <w:rPr>
          <w:rFonts w:ascii="Arial" w:hAnsi="Arial" w:cs="Arial"/>
        </w:rPr>
      </w:pPr>
    </w:p>
    <w:tbl>
      <w:tblPr>
        <w:tblW w:w="10139" w:type="dxa"/>
        <w:jc w:val="center"/>
        <w:tblLayout w:type="fixed"/>
        <w:tblCellMar>
          <w:left w:w="0" w:type="dxa"/>
          <w:right w:w="0" w:type="dxa"/>
        </w:tblCellMar>
        <w:tblLook w:val="0000"/>
      </w:tblPr>
      <w:tblGrid>
        <w:gridCol w:w="2879"/>
        <w:gridCol w:w="1162"/>
        <w:gridCol w:w="994"/>
        <w:gridCol w:w="1618"/>
        <w:gridCol w:w="1162"/>
        <w:gridCol w:w="1162"/>
        <w:gridCol w:w="1162"/>
      </w:tblGrid>
      <w:tr w:rsidR="00FB3368" w:rsidRPr="006E01E4" w:rsidTr="00576967">
        <w:trPr>
          <w:cantSplit/>
          <w:tblHeader/>
          <w:jc w:val="center"/>
        </w:trPr>
        <w:tc>
          <w:tcPr>
            <w:tcW w:w="5035" w:type="dxa"/>
            <w:gridSpan w:val="3"/>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jc w:val="center"/>
              <w:rPr>
                <w:rFonts w:ascii="Arial" w:hAnsi="Arial" w:cs="Arial"/>
                <w:b/>
                <w:bCs/>
                <w:color w:val="000000"/>
              </w:rPr>
            </w:pPr>
            <w:r w:rsidRPr="006E01E4">
              <w:rPr>
                <w:rFonts w:ascii="Arial" w:hAnsi="Arial" w:cs="Arial"/>
                <w:b/>
                <w:bCs/>
                <w:color w:val="000000"/>
              </w:rPr>
              <w:t>Adverse Events</w:t>
            </w:r>
          </w:p>
        </w:tc>
        <w:tc>
          <w:tcPr>
            <w:tcW w:w="5104" w:type="dxa"/>
            <w:gridSpan w:val="4"/>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jc w:val="center"/>
              <w:rPr>
                <w:rFonts w:ascii="Arial" w:hAnsi="Arial" w:cs="Arial"/>
                <w:b/>
                <w:bCs/>
                <w:color w:val="000000"/>
              </w:rPr>
            </w:pPr>
            <w:r w:rsidRPr="006E01E4">
              <w:rPr>
                <w:rFonts w:ascii="Arial" w:hAnsi="Arial" w:cs="Arial"/>
                <w:b/>
                <w:bCs/>
                <w:color w:val="000000"/>
              </w:rPr>
              <w:t>Severity (% of Events)</w:t>
            </w:r>
          </w:p>
        </w:tc>
      </w:tr>
      <w:tr w:rsidR="00FB3368" w:rsidRPr="006E01E4" w:rsidTr="00576967">
        <w:trPr>
          <w:cantSplit/>
          <w:tblHeader/>
          <w:jc w:val="center"/>
        </w:trPr>
        <w:tc>
          <w:tcPr>
            <w:tcW w:w="2879"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Pr>
                <w:rFonts w:ascii="Arial" w:hAnsi="Arial" w:cs="Arial"/>
                <w:b/>
                <w:bCs/>
                <w:color w:val="000000"/>
              </w:rPr>
              <w:t>Type</w:t>
            </w:r>
          </w:p>
        </w:tc>
        <w:tc>
          <w:tcPr>
            <w:tcW w:w="1162"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Patients</w:t>
            </w:r>
            <w:r w:rsidRPr="006E01E4">
              <w:rPr>
                <w:rFonts w:ascii="Arial" w:hAnsi="Arial" w:cs="Arial"/>
                <w:b/>
                <w:bCs/>
                <w:color w:val="000000"/>
              </w:rPr>
              <w:br/>
              <w:t>(% of Total)</w:t>
            </w:r>
          </w:p>
        </w:tc>
        <w:tc>
          <w:tcPr>
            <w:tcW w:w="994"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Events</w:t>
            </w:r>
          </w:p>
        </w:tc>
        <w:tc>
          <w:tcPr>
            <w:tcW w:w="1618"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Asymptomatic</w:t>
            </w:r>
          </w:p>
        </w:tc>
        <w:tc>
          <w:tcPr>
            <w:tcW w:w="1162"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Mild</w:t>
            </w:r>
          </w:p>
        </w:tc>
        <w:tc>
          <w:tcPr>
            <w:tcW w:w="1162"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Moderate</w:t>
            </w:r>
          </w:p>
        </w:tc>
        <w:tc>
          <w:tcPr>
            <w:tcW w:w="1162" w:type="dxa"/>
            <w:tcBorders>
              <w:top w:val="nil"/>
              <w:left w:val="single" w:sz="4" w:space="0" w:color="000000"/>
              <w:bottom w:val="single" w:sz="2" w:space="0" w:color="000000"/>
              <w:right w:val="single" w:sz="2" w:space="0" w:color="000000"/>
            </w:tcBorders>
            <w:shd w:val="clear" w:color="auto" w:fill="BFBFBF"/>
            <w:tcMar>
              <w:left w:w="29" w:type="dxa"/>
              <w:right w:w="29" w:type="dxa"/>
            </w:tcMar>
          </w:tcPr>
          <w:p w:rsidR="00FB3368" w:rsidRPr="006E01E4" w:rsidRDefault="00FB3368" w:rsidP="00576967">
            <w:pPr>
              <w:keepNext/>
              <w:adjustRightInd w:val="0"/>
              <w:spacing w:before="29" w:after="29"/>
              <w:rPr>
                <w:rFonts w:ascii="Arial" w:hAnsi="Arial" w:cs="Arial"/>
                <w:b/>
                <w:bCs/>
                <w:color w:val="000000"/>
              </w:rPr>
            </w:pPr>
            <w:r w:rsidRPr="006E01E4">
              <w:rPr>
                <w:rFonts w:ascii="Arial" w:hAnsi="Arial" w:cs="Arial"/>
                <w:b/>
                <w:bCs/>
                <w:color w:val="000000"/>
              </w:rPr>
              <w:t>Severe</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Nausea</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79 (79.0%)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224</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211 (94.2%)</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13 (5.8%)</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Retching</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49 (49.0%)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103</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94 (91.3%)</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9 (8.7%)</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Vomiting</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40 (40.0%)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77</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70 (90.9%)</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7 (9.1%)</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Abdominal pain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23 (23.0%)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32</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30 (93.8%)</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(6.3%)</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Dyspepsia</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8 (8.0%)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10</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 (40.0%)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6 (60.0%)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lastRenderedPageBreak/>
              <w:t>Constipation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 (4.0%)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4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Gastric irritation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 (3.0%)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(33.3%)</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(66.7%)</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Diarrhea</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(2.0%)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3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Epigastric pain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(2.0%)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(50.0%)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(50.0%)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Difficulty in sleeping</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(2.0%)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Eructation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(2.0%)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2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 xml:space="preserve">Intermittent gastric outlet obstruction </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Gastric ulcer</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Neck pain</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Anxiety</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color w:val="000000"/>
              </w:rPr>
            </w:pPr>
            <w:r w:rsidRPr="006E01E4">
              <w:rPr>
                <w:rFonts w:ascii="Arial" w:hAnsi="Arial" w:cs="Arial"/>
                <w:color w:val="000000"/>
              </w:rPr>
              <w:t>Gastric abrasion/bleeding</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rPr>
                <w:rFonts w:ascii="Arial" w:hAnsi="Arial" w:cs="Arial"/>
                <w:color w:val="000000"/>
              </w:rPr>
            </w:pPr>
            <w:r w:rsidRPr="006E01E4">
              <w:rPr>
                <w:rFonts w:ascii="Arial" w:hAnsi="Arial" w:cs="Arial"/>
                <w:color w:val="000000"/>
              </w:rPr>
              <w:t>Esophageal abrasion/bleeding</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1 (1.0%)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1</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1 (100.0%)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0 (0.0%)</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keepNext/>
              <w:adjustRightInd w:val="0"/>
              <w:spacing w:before="29" w:after="29"/>
              <w:jc w:val="right"/>
              <w:rPr>
                <w:rFonts w:ascii="Arial" w:hAnsi="Arial" w:cs="Arial"/>
                <w:color w:val="000000"/>
              </w:rPr>
            </w:pPr>
            <w:r w:rsidRPr="006E01E4">
              <w:rPr>
                <w:rFonts w:ascii="Arial" w:hAnsi="Arial" w:cs="Arial"/>
                <w:color w:val="000000"/>
              </w:rPr>
              <w:t>0 (0.0%)</w:t>
            </w:r>
          </w:p>
        </w:tc>
      </w:tr>
      <w:tr w:rsidR="00FB3368" w:rsidRPr="006E01E4" w:rsidTr="00576967">
        <w:trPr>
          <w:cantSplit/>
          <w:jc w:val="center"/>
        </w:trPr>
        <w:tc>
          <w:tcPr>
            <w:tcW w:w="2879"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rPr>
                <w:rFonts w:ascii="Arial" w:hAnsi="Arial" w:cs="Arial"/>
                <w:b/>
                <w:bCs/>
                <w:color w:val="000000"/>
              </w:rPr>
            </w:pPr>
            <w:r w:rsidRPr="006E01E4">
              <w:rPr>
                <w:rFonts w:ascii="Arial" w:hAnsi="Arial" w:cs="Arial"/>
                <w:b/>
                <w:bCs/>
                <w:color w:val="000000"/>
              </w:rPr>
              <w:t>ALL</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86 (86.0%)</w:t>
            </w:r>
          </w:p>
        </w:tc>
        <w:tc>
          <w:tcPr>
            <w:tcW w:w="994"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468</w:t>
            </w:r>
          </w:p>
        </w:tc>
        <w:tc>
          <w:tcPr>
            <w:tcW w:w="1618"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2 (0.4%)</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425 (90.8%)</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41 (8.8%)</w:t>
            </w:r>
          </w:p>
        </w:tc>
        <w:tc>
          <w:tcPr>
            <w:tcW w:w="1162" w:type="dxa"/>
            <w:tcBorders>
              <w:top w:val="nil"/>
              <w:left w:val="single" w:sz="4" w:space="0" w:color="000000"/>
              <w:bottom w:val="single" w:sz="2" w:space="0" w:color="000000"/>
              <w:right w:val="single" w:sz="2" w:space="0" w:color="000000"/>
            </w:tcBorders>
            <w:shd w:val="clear" w:color="auto" w:fill="FFFFFF"/>
            <w:tcMar>
              <w:left w:w="29" w:type="dxa"/>
              <w:right w:w="29" w:type="dxa"/>
            </w:tcMar>
          </w:tcPr>
          <w:p w:rsidR="00FB3368" w:rsidRPr="006E01E4" w:rsidRDefault="00FB3368" w:rsidP="00576967">
            <w:pPr>
              <w:adjustRightInd w:val="0"/>
              <w:spacing w:before="29" w:after="29"/>
              <w:jc w:val="right"/>
              <w:rPr>
                <w:rFonts w:ascii="Arial" w:hAnsi="Arial" w:cs="Arial"/>
                <w:b/>
                <w:bCs/>
                <w:color w:val="000000"/>
              </w:rPr>
            </w:pPr>
            <w:r w:rsidRPr="006E01E4">
              <w:rPr>
                <w:rFonts w:ascii="Arial" w:hAnsi="Arial" w:cs="Arial"/>
                <w:b/>
                <w:bCs/>
                <w:color w:val="000000"/>
              </w:rPr>
              <w:t>0 (0.0%)</w:t>
            </w:r>
          </w:p>
        </w:tc>
      </w:tr>
    </w:tbl>
    <w:p w:rsidR="00FB3368" w:rsidRDefault="00FB3368" w:rsidP="00FB3368">
      <w:pPr>
        <w:rPr>
          <w:b/>
        </w:rPr>
      </w:pPr>
    </w:p>
    <w:p w:rsidR="00FB3368" w:rsidRDefault="00FB3368" w:rsidP="00FB3368">
      <w:r w:rsidRPr="00AA010B">
        <w:rPr>
          <w:b/>
        </w:rPr>
        <w:t>Table 2</w:t>
      </w:r>
      <w:r w:rsidRPr="00AA010B">
        <w:t>. Device or Procedure Related non-serious adverse events reported in n=100 patients</w:t>
      </w:r>
    </w:p>
    <w:p w:rsidR="00FB3368" w:rsidRDefault="00FB3368" w:rsidP="00142F5C">
      <w:pPr>
        <w:spacing w:line="480" w:lineRule="auto"/>
        <w:rPr>
          <w:rFonts w:ascii="Arial" w:hAnsi="Arial" w:cs="Arial"/>
          <w:sz w:val="24"/>
          <w:szCs w:val="24"/>
        </w:rPr>
      </w:pPr>
    </w:p>
    <w:p w:rsidR="00A1132F" w:rsidRDefault="00A1132F" w:rsidP="00142F5C">
      <w:pPr>
        <w:spacing w:line="480" w:lineRule="auto"/>
        <w:rPr>
          <w:rFonts w:ascii="Arial" w:hAnsi="Arial" w:cs="Arial"/>
          <w:sz w:val="24"/>
          <w:szCs w:val="24"/>
        </w:rPr>
      </w:pPr>
    </w:p>
    <w:p w:rsidR="00A1132F" w:rsidRDefault="00A1132F" w:rsidP="00142F5C">
      <w:pPr>
        <w:spacing w:line="480" w:lineRule="auto"/>
        <w:rPr>
          <w:rFonts w:ascii="Arial" w:hAnsi="Arial" w:cs="Arial"/>
          <w:sz w:val="24"/>
          <w:szCs w:val="24"/>
        </w:rPr>
      </w:pPr>
    </w:p>
    <w:p w:rsidR="00A1132F" w:rsidRDefault="00A1132F" w:rsidP="00142F5C">
      <w:pPr>
        <w:spacing w:line="480" w:lineRule="auto"/>
        <w:rPr>
          <w:rFonts w:ascii="Arial" w:hAnsi="Arial" w:cs="Arial"/>
          <w:sz w:val="24"/>
          <w:szCs w:val="24"/>
        </w:rPr>
      </w:pPr>
    </w:p>
    <w:p w:rsidR="00A1132F" w:rsidRDefault="00A1132F" w:rsidP="00142F5C">
      <w:pPr>
        <w:spacing w:line="480" w:lineRule="auto"/>
        <w:rPr>
          <w:rFonts w:ascii="Arial" w:hAnsi="Arial" w:cs="Arial"/>
          <w:sz w:val="24"/>
          <w:szCs w:val="24"/>
        </w:rPr>
      </w:pPr>
    </w:p>
    <w:p w:rsidR="00A1132F" w:rsidRPr="00142F5C" w:rsidRDefault="00A1132F" w:rsidP="00142F5C">
      <w:pPr>
        <w:spacing w:line="480" w:lineRule="auto"/>
        <w:rPr>
          <w:rFonts w:ascii="Arial" w:hAnsi="Arial" w:cs="Arial"/>
          <w:sz w:val="24"/>
          <w:szCs w:val="24"/>
        </w:rPr>
      </w:pPr>
      <w:r w:rsidRPr="00A1132F">
        <w:rPr>
          <w:rFonts w:ascii="Arial" w:hAnsi="Arial" w:cs="Arial"/>
          <w:noProof/>
          <w:sz w:val="24"/>
          <w:szCs w:val="24"/>
        </w:rPr>
        <w:lastRenderedPageBreak/>
        <w:drawing>
          <wp:inline distT="0" distB="0" distL="0" distR="0">
            <wp:extent cx="5943600" cy="7691718"/>
            <wp:effectExtent l="0" t="0" r="0" b="5080"/>
            <wp:docPr id="1" name="Picture 1" descr="C:\Users\sullishe\OneDrive\Shelby Work Docuements 4-15-18\Obalon\PAS\Figure 1. 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she\OneDrive\Shelby Work Docuements 4-15-18\Obalon\PAS\Figure 1. PA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691718"/>
                    </a:xfrm>
                    <a:prstGeom prst="rect">
                      <a:avLst/>
                    </a:prstGeom>
                    <a:noFill/>
                    <a:ln>
                      <a:noFill/>
                    </a:ln>
                  </pic:spPr>
                </pic:pic>
              </a:graphicData>
            </a:graphic>
          </wp:inline>
        </w:drawing>
      </w:r>
    </w:p>
    <w:sectPr w:rsidR="00A1132F" w:rsidRPr="00142F5C" w:rsidSect="00D341C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14155" w16cid:durableId="235CFA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BA6" w:rsidRDefault="00791BA6" w:rsidP="004B5329">
      <w:pPr>
        <w:spacing w:after="0" w:line="240" w:lineRule="auto"/>
      </w:pPr>
      <w:r>
        <w:separator/>
      </w:r>
    </w:p>
  </w:endnote>
  <w:endnote w:type="continuationSeparator" w:id="1">
    <w:p w:rsidR="00791BA6" w:rsidRDefault="00791BA6" w:rsidP="004B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BA6" w:rsidRDefault="00791BA6" w:rsidP="004B5329">
      <w:pPr>
        <w:spacing w:after="0" w:line="240" w:lineRule="auto"/>
      </w:pPr>
      <w:r>
        <w:separator/>
      </w:r>
    </w:p>
  </w:footnote>
  <w:footnote w:type="continuationSeparator" w:id="1">
    <w:p w:rsidR="00791BA6" w:rsidRDefault="00791BA6" w:rsidP="004B5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92F7E"/>
    <w:multiLevelType w:val="hybridMultilevel"/>
    <w:tmpl w:val="63E6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46E67"/>
    <w:multiLevelType w:val="hybridMultilevel"/>
    <w:tmpl w:val="883274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574E2577"/>
    <w:multiLevelType w:val="hybridMultilevel"/>
    <w:tmpl w:val="4B0ED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602B13"/>
    <w:multiLevelType w:val="hybridMultilevel"/>
    <w:tmpl w:val="883E18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2155E"/>
    <w:multiLevelType w:val="hybridMultilevel"/>
    <w:tmpl w:val="E4EE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dvedv9mr2wf5e2pf9p0d2s9psx2ra0td0p&quot;&gt;EBT-CommandCenterJR.1 Copy.2.22.19-Converted.2&lt;record-ids&gt;&lt;item&gt;86&lt;/item&gt;&lt;item&gt;135&lt;/item&gt;&lt;item&gt;139&lt;/item&gt;&lt;item&gt;140&lt;/item&gt;&lt;item&gt;142&lt;/item&gt;&lt;item&gt;184&lt;/item&gt;&lt;item&gt;196&lt;/item&gt;&lt;item&gt;197&lt;/item&gt;&lt;item&gt;209&lt;/item&gt;&lt;item&gt;221&lt;/item&gt;&lt;item&gt;419&lt;/item&gt;&lt;item&gt;424&lt;/item&gt;&lt;item&gt;447&lt;/item&gt;&lt;item&gt;449&lt;/item&gt;&lt;item&gt;450&lt;/item&gt;&lt;item&gt;451&lt;/item&gt;&lt;item&gt;454&lt;/item&gt;&lt;item&gt;455&lt;/item&gt;&lt;item&gt;456&lt;/item&gt;&lt;item&gt;457&lt;/item&gt;&lt;item&gt;460&lt;/item&gt;&lt;item&gt;475&lt;/item&gt;&lt;item&gt;477&lt;/item&gt;&lt;item&gt;478&lt;/item&gt;&lt;item&gt;479&lt;/item&gt;&lt;item&gt;480&lt;/item&gt;&lt;item&gt;481&lt;/item&gt;&lt;/record-ids&gt;&lt;/item&gt;&lt;/Libraries&gt;"/>
  </w:docVars>
  <w:rsids>
    <w:rsidRoot w:val="00894733"/>
    <w:rsid w:val="000011E6"/>
    <w:rsid w:val="000047AB"/>
    <w:rsid w:val="00020BE0"/>
    <w:rsid w:val="000461E5"/>
    <w:rsid w:val="00053486"/>
    <w:rsid w:val="00071897"/>
    <w:rsid w:val="00081725"/>
    <w:rsid w:val="00084DF0"/>
    <w:rsid w:val="00084EEE"/>
    <w:rsid w:val="00091B9D"/>
    <w:rsid w:val="000A124A"/>
    <w:rsid w:val="000A42E0"/>
    <w:rsid w:val="000B3D5E"/>
    <w:rsid w:val="000C5546"/>
    <w:rsid w:val="000F397A"/>
    <w:rsid w:val="00103A51"/>
    <w:rsid w:val="0010636A"/>
    <w:rsid w:val="0012322C"/>
    <w:rsid w:val="0012775B"/>
    <w:rsid w:val="00136CC5"/>
    <w:rsid w:val="00137962"/>
    <w:rsid w:val="00142F5C"/>
    <w:rsid w:val="001503C9"/>
    <w:rsid w:val="001767A7"/>
    <w:rsid w:val="00183AEF"/>
    <w:rsid w:val="00185801"/>
    <w:rsid w:val="001A6510"/>
    <w:rsid w:val="001D3B5F"/>
    <w:rsid w:val="001E61BF"/>
    <w:rsid w:val="001F3054"/>
    <w:rsid w:val="00207323"/>
    <w:rsid w:val="0021232B"/>
    <w:rsid w:val="00230726"/>
    <w:rsid w:val="002422E2"/>
    <w:rsid w:val="00242442"/>
    <w:rsid w:val="002614DF"/>
    <w:rsid w:val="0027546C"/>
    <w:rsid w:val="0029242B"/>
    <w:rsid w:val="00294929"/>
    <w:rsid w:val="002B4C67"/>
    <w:rsid w:val="002E3E53"/>
    <w:rsid w:val="002F2936"/>
    <w:rsid w:val="002F51A6"/>
    <w:rsid w:val="003138B7"/>
    <w:rsid w:val="003168ED"/>
    <w:rsid w:val="00327386"/>
    <w:rsid w:val="0035406D"/>
    <w:rsid w:val="0036781D"/>
    <w:rsid w:val="003854AC"/>
    <w:rsid w:val="003903B7"/>
    <w:rsid w:val="00391497"/>
    <w:rsid w:val="003A32B3"/>
    <w:rsid w:val="003A6F60"/>
    <w:rsid w:val="003A7FE2"/>
    <w:rsid w:val="003B1B84"/>
    <w:rsid w:val="003B45EF"/>
    <w:rsid w:val="003B6B16"/>
    <w:rsid w:val="003C5E5E"/>
    <w:rsid w:val="003D3021"/>
    <w:rsid w:val="003E7C01"/>
    <w:rsid w:val="003F243C"/>
    <w:rsid w:val="003F6242"/>
    <w:rsid w:val="003F744C"/>
    <w:rsid w:val="00420FB1"/>
    <w:rsid w:val="0044339C"/>
    <w:rsid w:val="00461E52"/>
    <w:rsid w:val="004636FA"/>
    <w:rsid w:val="0047708B"/>
    <w:rsid w:val="004945F0"/>
    <w:rsid w:val="004A6C8E"/>
    <w:rsid w:val="004B5329"/>
    <w:rsid w:val="004B70FD"/>
    <w:rsid w:val="004D4C84"/>
    <w:rsid w:val="004E0FD7"/>
    <w:rsid w:val="004E36C2"/>
    <w:rsid w:val="004E6B86"/>
    <w:rsid w:val="0050155D"/>
    <w:rsid w:val="00537B56"/>
    <w:rsid w:val="005444BD"/>
    <w:rsid w:val="00557A96"/>
    <w:rsid w:val="00574A0A"/>
    <w:rsid w:val="00576967"/>
    <w:rsid w:val="0058358E"/>
    <w:rsid w:val="0058380E"/>
    <w:rsid w:val="005910DE"/>
    <w:rsid w:val="0059406A"/>
    <w:rsid w:val="005E0F91"/>
    <w:rsid w:val="005E71FB"/>
    <w:rsid w:val="005F5579"/>
    <w:rsid w:val="005F7496"/>
    <w:rsid w:val="00601B50"/>
    <w:rsid w:val="006145C7"/>
    <w:rsid w:val="0061691D"/>
    <w:rsid w:val="006238F4"/>
    <w:rsid w:val="0062771D"/>
    <w:rsid w:val="006346DB"/>
    <w:rsid w:val="00640224"/>
    <w:rsid w:val="006561B4"/>
    <w:rsid w:val="0066364F"/>
    <w:rsid w:val="006872FC"/>
    <w:rsid w:val="00691FCD"/>
    <w:rsid w:val="006941BE"/>
    <w:rsid w:val="006B7483"/>
    <w:rsid w:val="006C18DE"/>
    <w:rsid w:val="006E01E4"/>
    <w:rsid w:val="006E1234"/>
    <w:rsid w:val="006F4A45"/>
    <w:rsid w:val="0070172C"/>
    <w:rsid w:val="0070513C"/>
    <w:rsid w:val="007062A8"/>
    <w:rsid w:val="0073743D"/>
    <w:rsid w:val="00753108"/>
    <w:rsid w:val="0076299A"/>
    <w:rsid w:val="00765A67"/>
    <w:rsid w:val="007710C0"/>
    <w:rsid w:val="007844E6"/>
    <w:rsid w:val="00791BA6"/>
    <w:rsid w:val="007964FD"/>
    <w:rsid w:val="007A7CA9"/>
    <w:rsid w:val="007B1151"/>
    <w:rsid w:val="007C583D"/>
    <w:rsid w:val="007D5382"/>
    <w:rsid w:val="007E0E02"/>
    <w:rsid w:val="007E3A95"/>
    <w:rsid w:val="007E6E66"/>
    <w:rsid w:val="00807627"/>
    <w:rsid w:val="00832276"/>
    <w:rsid w:val="00841FCC"/>
    <w:rsid w:val="008669FE"/>
    <w:rsid w:val="00875BEA"/>
    <w:rsid w:val="00882874"/>
    <w:rsid w:val="008859DE"/>
    <w:rsid w:val="00885B14"/>
    <w:rsid w:val="0088612E"/>
    <w:rsid w:val="00891513"/>
    <w:rsid w:val="00894733"/>
    <w:rsid w:val="008B24E3"/>
    <w:rsid w:val="008C3B87"/>
    <w:rsid w:val="008E62BE"/>
    <w:rsid w:val="008F7FBB"/>
    <w:rsid w:val="009315E8"/>
    <w:rsid w:val="00937EA1"/>
    <w:rsid w:val="00954C89"/>
    <w:rsid w:val="00957BDD"/>
    <w:rsid w:val="00960227"/>
    <w:rsid w:val="009648EF"/>
    <w:rsid w:val="00967F7E"/>
    <w:rsid w:val="00971740"/>
    <w:rsid w:val="0097695B"/>
    <w:rsid w:val="00996665"/>
    <w:rsid w:val="009A0DDA"/>
    <w:rsid w:val="009A4B93"/>
    <w:rsid w:val="009A545A"/>
    <w:rsid w:val="009B1DE3"/>
    <w:rsid w:val="009D00C1"/>
    <w:rsid w:val="009E2A34"/>
    <w:rsid w:val="009F0B92"/>
    <w:rsid w:val="009F718D"/>
    <w:rsid w:val="00A1132F"/>
    <w:rsid w:val="00A16BD9"/>
    <w:rsid w:val="00A447BB"/>
    <w:rsid w:val="00A4633C"/>
    <w:rsid w:val="00A836E7"/>
    <w:rsid w:val="00AB130C"/>
    <w:rsid w:val="00AE0129"/>
    <w:rsid w:val="00B07BA2"/>
    <w:rsid w:val="00B22A0F"/>
    <w:rsid w:val="00B2588E"/>
    <w:rsid w:val="00B353E7"/>
    <w:rsid w:val="00B5606A"/>
    <w:rsid w:val="00B57230"/>
    <w:rsid w:val="00B61738"/>
    <w:rsid w:val="00B6321D"/>
    <w:rsid w:val="00B846E6"/>
    <w:rsid w:val="00B91678"/>
    <w:rsid w:val="00BA4991"/>
    <w:rsid w:val="00BB05F8"/>
    <w:rsid w:val="00BC11FB"/>
    <w:rsid w:val="00BC1EB3"/>
    <w:rsid w:val="00BC49E4"/>
    <w:rsid w:val="00BC7BC3"/>
    <w:rsid w:val="00BD6EBB"/>
    <w:rsid w:val="00BE06F7"/>
    <w:rsid w:val="00BF737F"/>
    <w:rsid w:val="00C07C93"/>
    <w:rsid w:val="00C11AFB"/>
    <w:rsid w:val="00C20F9E"/>
    <w:rsid w:val="00C44F6A"/>
    <w:rsid w:val="00C65736"/>
    <w:rsid w:val="00C76E5F"/>
    <w:rsid w:val="00C80776"/>
    <w:rsid w:val="00C8593A"/>
    <w:rsid w:val="00C9199B"/>
    <w:rsid w:val="00CA1540"/>
    <w:rsid w:val="00CA2E02"/>
    <w:rsid w:val="00CB3D52"/>
    <w:rsid w:val="00CC4BFD"/>
    <w:rsid w:val="00CD1D41"/>
    <w:rsid w:val="00CE04BC"/>
    <w:rsid w:val="00CF7E62"/>
    <w:rsid w:val="00D055CE"/>
    <w:rsid w:val="00D1232B"/>
    <w:rsid w:val="00D3234B"/>
    <w:rsid w:val="00D341CC"/>
    <w:rsid w:val="00DA25BD"/>
    <w:rsid w:val="00DA5BBC"/>
    <w:rsid w:val="00DB6AC4"/>
    <w:rsid w:val="00DC49B3"/>
    <w:rsid w:val="00DC7204"/>
    <w:rsid w:val="00DE2A52"/>
    <w:rsid w:val="00DE62AC"/>
    <w:rsid w:val="00DF62C4"/>
    <w:rsid w:val="00E00299"/>
    <w:rsid w:val="00E04981"/>
    <w:rsid w:val="00E6129A"/>
    <w:rsid w:val="00E7599A"/>
    <w:rsid w:val="00E90B7C"/>
    <w:rsid w:val="00ED1BE2"/>
    <w:rsid w:val="00EE2F63"/>
    <w:rsid w:val="00EF59BE"/>
    <w:rsid w:val="00EF5B02"/>
    <w:rsid w:val="00F15C27"/>
    <w:rsid w:val="00F20594"/>
    <w:rsid w:val="00F23010"/>
    <w:rsid w:val="00F27D9B"/>
    <w:rsid w:val="00F34690"/>
    <w:rsid w:val="00F41464"/>
    <w:rsid w:val="00F43C06"/>
    <w:rsid w:val="00F462E1"/>
    <w:rsid w:val="00FA435C"/>
    <w:rsid w:val="00FA62A8"/>
    <w:rsid w:val="00FB0777"/>
    <w:rsid w:val="00FB1B6E"/>
    <w:rsid w:val="00FB3368"/>
    <w:rsid w:val="00FE6315"/>
    <w:rsid w:val="00FE7709"/>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97"/>
  </w:style>
  <w:style w:type="paragraph" w:styleId="Heading2">
    <w:name w:val="heading 2"/>
    <w:basedOn w:val="Normal"/>
    <w:next w:val="Normal"/>
    <w:link w:val="Heading2Char"/>
    <w:uiPriority w:val="9"/>
    <w:semiHidden/>
    <w:unhideWhenUsed/>
    <w:qFormat/>
    <w:rsid w:val="00F23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33"/>
    <w:rPr>
      <w:color w:val="0563C1" w:themeColor="hyperlink"/>
      <w:u w:val="single"/>
    </w:rPr>
  </w:style>
  <w:style w:type="paragraph" w:customStyle="1" w:styleId="EndNoteBibliographyTitle">
    <w:name w:val="EndNote Bibliography Title"/>
    <w:basedOn w:val="Normal"/>
    <w:link w:val="EndNoteBibliographyTitleChar"/>
    <w:rsid w:val="00DB6AC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B6AC4"/>
    <w:rPr>
      <w:rFonts w:ascii="Calibri" w:hAnsi="Calibri" w:cs="Calibri"/>
      <w:noProof/>
    </w:rPr>
  </w:style>
  <w:style w:type="paragraph" w:customStyle="1" w:styleId="EndNoteBibliography">
    <w:name w:val="EndNote Bibliography"/>
    <w:basedOn w:val="Normal"/>
    <w:link w:val="EndNoteBibliographyChar"/>
    <w:rsid w:val="00DB6A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6AC4"/>
    <w:rPr>
      <w:rFonts w:ascii="Calibri" w:hAnsi="Calibri" w:cs="Calibri"/>
      <w:noProof/>
    </w:rPr>
  </w:style>
  <w:style w:type="character" w:styleId="CommentReference">
    <w:name w:val="annotation reference"/>
    <w:basedOn w:val="DefaultParagraphFont"/>
    <w:uiPriority w:val="99"/>
    <w:semiHidden/>
    <w:unhideWhenUsed/>
    <w:rsid w:val="00601B50"/>
    <w:rPr>
      <w:sz w:val="16"/>
      <w:szCs w:val="16"/>
    </w:rPr>
  </w:style>
  <w:style w:type="paragraph" w:styleId="CommentText">
    <w:name w:val="annotation text"/>
    <w:basedOn w:val="Normal"/>
    <w:link w:val="CommentTextChar"/>
    <w:uiPriority w:val="99"/>
    <w:semiHidden/>
    <w:unhideWhenUsed/>
    <w:rsid w:val="00601B50"/>
    <w:pPr>
      <w:spacing w:line="240" w:lineRule="auto"/>
    </w:pPr>
    <w:rPr>
      <w:sz w:val="20"/>
      <w:szCs w:val="20"/>
    </w:rPr>
  </w:style>
  <w:style w:type="character" w:customStyle="1" w:styleId="CommentTextChar">
    <w:name w:val="Comment Text Char"/>
    <w:basedOn w:val="DefaultParagraphFont"/>
    <w:link w:val="CommentText"/>
    <w:uiPriority w:val="99"/>
    <w:semiHidden/>
    <w:rsid w:val="00601B50"/>
    <w:rPr>
      <w:sz w:val="20"/>
      <w:szCs w:val="20"/>
    </w:rPr>
  </w:style>
  <w:style w:type="paragraph" w:styleId="CommentSubject">
    <w:name w:val="annotation subject"/>
    <w:basedOn w:val="CommentText"/>
    <w:next w:val="CommentText"/>
    <w:link w:val="CommentSubjectChar"/>
    <w:uiPriority w:val="99"/>
    <w:semiHidden/>
    <w:unhideWhenUsed/>
    <w:rsid w:val="00601B50"/>
    <w:rPr>
      <w:b/>
      <w:bCs/>
    </w:rPr>
  </w:style>
  <w:style w:type="character" w:customStyle="1" w:styleId="CommentSubjectChar">
    <w:name w:val="Comment Subject Char"/>
    <w:basedOn w:val="CommentTextChar"/>
    <w:link w:val="CommentSubject"/>
    <w:uiPriority w:val="99"/>
    <w:semiHidden/>
    <w:rsid w:val="00601B50"/>
    <w:rPr>
      <w:b/>
      <w:bCs/>
      <w:sz w:val="20"/>
      <w:szCs w:val="20"/>
    </w:rPr>
  </w:style>
  <w:style w:type="paragraph" w:styleId="BalloonText">
    <w:name w:val="Balloon Text"/>
    <w:basedOn w:val="Normal"/>
    <w:link w:val="BalloonTextChar"/>
    <w:uiPriority w:val="99"/>
    <w:semiHidden/>
    <w:unhideWhenUsed/>
    <w:rsid w:val="0060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50"/>
    <w:rPr>
      <w:rFonts w:ascii="Segoe UI" w:hAnsi="Segoe UI" w:cs="Segoe UI"/>
      <w:sz w:val="18"/>
      <w:szCs w:val="18"/>
    </w:rPr>
  </w:style>
  <w:style w:type="paragraph" w:styleId="ListParagraph">
    <w:name w:val="List Paragraph"/>
    <w:basedOn w:val="Normal"/>
    <w:uiPriority w:val="34"/>
    <w:qFormat/>
    <w:rsid w:val="00601B50"/>
    <w:pPr>
      <w:ind w:left="720"/>
      <w:contextualSpacing/>
    </w:pPr>
  </w:style>
  <w:style w:type="character" w:customStyle="1" w:styleId="Heading2Char">
    <w:name w:val="Heading 2 Char"/>
    <w:basedOn w:val="DefaultParagraphFont"/>
    <w:link w:val="Heading2"/>
    <w:uiPriority w:val="9"/>
    <w:semiHidden/>
    <w:rsid w:val="00F2301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29"/>
  </w:style>
  <w:style w:type="paragraph" w:styleId="Footer">
    <w:name w:val="footer"/>
    <w:basedOn w:val="Normal"/>
    <w:link w:val="FooterChar"/>
    <w:uiPriority w:val="99"/>
    <w:unhideWhenUsed/>
    <w:rsid w:val="004B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29"/>
  </w:style>
  <w:style w:type="character" w:styleId="LineNumber">
    <w:name w:val="line number"/>
    <w:basedOn w:val="DefaultParagraphFont"/>
    <w:uiPriority w:val="99"/>
    <w:semiHidden/>
    <w:unhideWhenUsed/>
    <w:rsid w:val="008F7FBB"/>
  </w:style>
  <w:style w:type="table" w:styleId="TableGrid">
    <w:name w:val="Table Grid"/>
    <w:basedOn w:val="TableNormal"/>
    <w:uiPriority w:val="39"/>
    <w:rsid w:val="0000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EC46-D6A8-46A6-947F-76B6F228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Shelby</dc:creator>
  <cp:lastModifiedBy>David Davtyan</cp:lastModifiedBy>
  <cp:revision>2</cp:revision>
  <dcterms:created xsi:type="dcterms:W3CDTF">2023-08-30T20:29:00Z</dcterms:created>
  <dcterms:modified xsi:type="dcterms:W3CDTF">2023-08-30T20:29:00Z</dcterms:modified>
</cp:coreProperties>
</file>